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A4" w:rsidRPr="006532A4" w:rsidRDefault="006532A4" w:rsidP="006532A4">
      <w:pPr>
        <w:widowControl/>
        <w:shd w:val="clear" w:color="auto" w:fill="FFFFFF"/>
        <w:spacing w:line="360" w:lineRule="atLeast"/>
        <w:ind w:firstLine="480"/>
        <w:jc w:val="center"/>
        <w:rPr>
          <w:rFonts w:ascii="Helvetica" w:eastAsia="宋体" w:hAnsi="Helvetica" w:cs="宋体"/>
          <w:color w:val="333333"/>
          <w:kern w:val="0"/>
          <w:szCs w:val="21"/>
        </w:rPr>
      </w:pPr>
      <w:r w:rsidRPr="006532A4">
        <w:rPr>
          <w:rFonts w:ascii="Helvetica" w:eastAsia="宋体" w:hAnsi="Helvetica" w:cs="宋体"/>
          <w:b/>
          <w:bCs/>
          <w:color w:val="333333"/>
          <w:kern w:val="0"/>
          <w:szCs w:val="21"/>
        </w:rPr>
        <w:t>现金管理暂行条例</w:t>
      </w:r>
    </w:p>
    <w:p w:rsid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(1988</w:t>
      </w:r>
      <w:r w:rsidRPr="006532A4">
        <w:rPr>
          <w:rFonts w:ascii="Helvetica" w:eastAsia="宋体" w:hAnsi="Helvetica" w:cs="宋体"/>
          <w:color w:val="333333"/>
          <w:kern w:val="0"/>
          <w:szCs w:val="21"/>
        </w:rPr>
        <w:t>年</w:t>
      </w:r>
      <w:r w:rsidRPr="006532A4">
        <w:rPr>
          <w:rFonts w:ascii="Helvetica" w:eastAsia="宋体" w:hAnsi="Helvetica" w:cs="宋体"/>
          <w:color w:val="333333"/>
          <w:kern w:val="0"/>
          <w:szCs w:val="21"/>
        </w:rPr>
        <w:t>9</w:t>
      </w:r>
      <w:r w:rsidRPr="006532A4">
        <w:rPr>
          <w:rFonts w:ascii="Helvetica" w:eastAsia="宋体" w:hAnsi="Helvetica" w:cs="宋体"/>
          <w:color w:val="333333"/>
          <w:kern w:val="0"/>
          <w:szCs w:val="21"/>
        </w:rPr>
        <w:t>月</w:t>
      </w:r>
      <w:r w:rsidRPr="006532A4">
        <w:rPr>
          <w:rFonts w:ascii="Helvetica" w:eastAsia="宋体" w:hAnsi="Helvetica" w:cs="宋体"/>
          <w:color w:val="333333"/>
          <w:kern w:val="0"/>
          <w:szCs w:val="21"/>
        </w:rPr>
        <w:t>8</w:t>
      </w:r>
      <w:r w:rsidRPr="006532A4">
        <w:rPr>
          <w:rFonts w:ascii="Helvetica" w:eastAsia="宋体" w:hAnsi="Helvetica" w:cs="宋体"/>
          <w:color w:val="333333"/>
          <w:kern w:val="0"/>
          <w:szCs w:val="21"/>
        </w:rPr>
        <w:t>日</w:t>
      </w:r>
      <w:hyperlink r:id="rId4" w:tgtFrame="_blank" w:history="1">
        <w:r w:rsidRPr="006532A4">
          <w:rPr>
            <w:rFonts w:ascii="Helvetica" w:eastAsia="宋体" w:hAnsi="Helvetica" w:cs="宋体"/>
            <w:color w:val="136EC2"/>
            <w:kern w:val="0"/>
            <w:szCs w:val="21"/>
            <w:u w:val="single"/>
          </w:rPr>
          <w:t>中华人民共和国国务院令第</w:t>
        </w:r>
        <w:r w:rsidRPr="006532A4">
          <w:rPr>
            <w:rFonts w:ascii="Helvetica" w:eastAsia="宋体" w:hAnsi="Helvetica" w:cs="宋体"/>
            <w:color w:val="136EC2"/>
            <w:kern w:val="0"/>
            <w:szCs w:val="21"/>
            <w:u w:val="single"/>
          </w:rPr>
          <w:t>12</w:t>
        </w:r>
        <w:r w:rsidRPr="006532A4">
          <w:rPr>
            <w:rFonts w:ascii="Helvetica" w:eastAsia="宋体" w:hAnsi="Helvetica" w:cs="宋体"/>
            <w:color w:val="136EC2"/>
            <w:kern w:val="0"/>
            <w:szCs w:val="21"/>
            <w:u w:val="single"/>
          </w:rPr>
          <w:t>号</w:t>
        </w:r>
      </w:hyperlink>
      <w:r w:rsidRPr="006532A4">
        <w:rPr>
          <w:rFonts w:ascii="Helvetica" w:eastAsia="宋体" w:hAnsi="Helvetica" w:cs="宋体"/>
          <w:color w:val="333333"/>
          <w:kern w:val="0"/>
          <w:szCs w:val="21"/>
        </w:rPr>
        <w:t>发布</w:t>
      </w:r>
      <w:r w:rsidRPr="006532A4">
        <w:rPr>
          <w:rFonts w:ascii="Helvetica" w:eastAsia="宋体" w:hAnsi="Helvetica" w:cs="宋体"/>
          <w:color w:val="333333"/>
          <w:kern w:val="0"/>
          <w:szCs w:val="21"/>
        </w:rPr>
        <w:t> </w:t>
      </w:r>
      <w:r w:rsidRPr="006532A4">
        <w:rPr>
          <w:rFonts w:ascii="Helvetica" w:eastAsia="宋体" w:hAnsi="Helvetica" w:cs="宋体"/>
          <w:color w:val="333333"/>
          <w:kern w:val="0"/>
          <w:szCs w:val="21"/>
        </w:rPr>
        <w:t>根据</w:t>
      </w:r>
      <w:r w:rsidRPr="006532A4">
        <w:rPr>
          <w:rFonts w:ascii="Helvetica" w:eastAsia="宋体" w:hAnsi="Helvetica" w:cs="宋体"/>
          <w:color w:val="333333"/>
          <w:kern w:val="0"/>
          <w:szCs w:val="21"/>
        </w:rPr>
        <w:t>2011</w:t>
      </w:r>
      <w:r w:rsidRPr="006532A4">
        <w:rPr>
          <w:rFonts w:ascii="Helvetica" w:eastAsia="宋体" w:hAnsi="Helvetica" w:cs="宋体"/>
          <w:color w:val="333333"/>
          <w:kern w:val="0"/>
          <w:szCs w:val="21"/>
        </w:rPr>
        <w:t>年</w:t>
      </w:r>
      <w:r w:rsidRPr="006532A4">
        <w:rPr>
          <w:rFonts w:ascii="Helvetica" w:eastAsia="宋体" w:hAnsi="Helvetica" w:cs="宋体"/>
          <w:color w:val="333333"/>
          <w:kern w:val="0"/>
          <w:szCs w:val="21"/>
        </w:rPr>
        <w:t>1</w:t>
      </w:r>
      <w:r w:rsidRPr="006532A4">
        <w:rPr>
          <w:rFonts w:ascii="Helvetica" w:eastAsia="宋体" w:hAnsi="Helvetica" w:cs="宋体"/>
          <w:color w:val="333333"/>
          <w:kern w:val="0"/>
          <w:szCs w:val="21"/>
        </w:rPr>
        <w:t>月</w:t>
      </w:r>
      <w:r w:rsidRPr="006532A4">
        <w:rPr>
          <w:rFonts w:ascii="Helvetica" w:eastAsia="宋体" w:hAnsi="Helvetica" w:cs="宋体"/>
          <w:color w:val="333333"/>
          <w:kern w:val="0"/>
          <w:szCs w:val="21"/>
        </w:rPr>
        <w:t>8</w:t>
      </w:r>
      <w:r w:rsidRPr="006532A4">
        <w:rPr>
          <w:rFonts w:ascii="Helvetica" w:eastAsia="宋体" w:hAnsi="Helvetica" w:cs="宋体"/>
          <w:color w:val="333333"/>
          <w:kern w:val="0"/>
          <w:szCs w:val="21"/>
        </w:rPr>
        <w:t>日《</w:t>
      </w:r>
      <w:hyperlink r:id="rId5" w:tgtFrame="_blank" w:history="1">
        <w:r w:rsidRPr="006532A4">
          <w:rPr>
            <w:rFonts w:ascii="Helvetica" w:eastAsia="宋体" w:hAnsi="Helvetica" w:cs="宋体"/>
            <w:color w:val="136EC2"/>
            <w:kern w:val="0"/>
            <w:szCs w:val="21"/>
            <w:u w:val="single"/>
          </w:rPr>
          <w:t>国务院关于废止和修改部分行政法规的决定</w:t>
        </w:r>
      </w:hyperlink>
      <w:r w:rsidRPr="006532A4">
        <w:rPr>
          <w:rFonts w:ascii="Helvetica" w:eastAsia="宋体" w:hAnsi="Helvetica" w:cs="宋体"/>
          <w:color w:val="333333"/>
          <w:kern w:val="0"/>
          <w:szCs w:val="21"/>
        </w:rPr>
        <w:t>》修订</w:t>
      </w:r>
      <w:r w:rsidRPr="006532A4">
        <w:rPr>
          <w:rFonts w:ascii="Helvetica" w:eastAsia="宋体" w:hAnsi="Helvetica" w:cs="宋体"/>
          <w:color w:val="333333"/>
          <w:kern w:val="0"/>
          <w:szCs w:val="21"/>
        </w:rPr>
        <w:t>)</w:t>
      </w:r>
    </w:p>
    <w:p w:rsidR="006532A4" w:rsidRDefault="006532A4" w:rsidP="006532A4">
      <w:pPr>
        <w:widowControl/>
        <w:shd w:val="clear" w:color="auto" w:fill="FFFFFF"/>
        <w:spacing w:line="360" w:lineRule="atLeast"/>
        <w:ind w:firstLine="480"/>
        <w:jc w:val="left"/>
        <w:rPr>
          <w:rStyle w:val="textmquay"/>
          <w:rFonts w:ascii="Helvetica" w:hAnsi="Helvetica"/>
          <w:color w:val="333333"/>
          <w:szCs w:val="21"/>
          <w:shd w:val="clear" w:color="auto" w:fill="FFFFFF"/>
        </w:rPr>
      </w:pPr>
      <w:r>
        <w:rPr>
          <w:rStyle w:val="textmquay"/>
          <w:rFonts w:ascii="Helvetica" w:hAnsi="Helvetica"/>
          <w:color w:val="333333"/>
          <w:szCs w:val="21"/>
          <w:shd w:val="clear" w:color="auto" w:fill="FFFFFF"/>
        </w:rPr>
        <w:t>2011</w:t>
      </w:r>
      <w:r>
        <w:rPr>
          <w:rStyle w:val="textmquay"/>
          <w:rFonts w:ascii="Helvetica" w:hAnsi="Helvetica"/>
          <w:color w:val="333333"/>
          <w:szCs w:val="21"/>
          <w:shd w:val="clear" w:color="auto" w:fill="FFFFFF"/>
        </w:rPr>
        <w:t>年</w:t>
      </w:r>
      <w:r>
        <w:rPr>
          <w:rStyle w:val="textmquay"/>
          <w:rFonts w:ascii="Helvetica" w:hAnsi="Helvetica"/>
          <w:color w:val="333333"/>
          <w:szCs w:val="21"/>
          <w:shd w:val="clear" w:color="auto" w:fill="FFFFFF"/>
        </w:rPr>
        <w:t>1</w:t>
      </w:r>
      <w:r>
        <w:rPr>
          <w:rStyle w:val="textmquay"/>
          <w:rFonts w:ascii="Helvetica" w:hAnsi="Helvetica"/>
          <w:color w:val="333333"/>
          <w:szCs w:val="21"/>
          <w:shd w:val="clear" w:color="auto" w:fill="FFFFFF"/>
        </w:rPr>
        <w:t>月</w:t>
      </w:r>
      <w:r>
        <w:rPr>
          <w:rStyle w:val="textmquay"/>
          <w:rFonts w:ascii="Helvetica" w:hAnsi="Helvetica"/>
          <w:color w:val="333333"/>
          <w:szCs w:val="21"/>
          <w:shd w:val="clear" w:color="auto" w:fill="FFFFFF"/>
        </w:rPr>
        <w:t>8</w:t>
      </w:r>
      <w:r>
        <w:rPr>
          <w:rStyle w:val="textmquay"/>
          <w:rFonts w:ascii="Helvetica" w:hAnsi="Helvetica"/>
          <w:color w:val="333333"/>
          <w:szCs w:val="21"/>
          <w:shd w:val="clear" w:color="auto" w:fill="FFFFFF"/>
        </w:rPr>
        <w:t>日，中华人民共和国国务院令第</w:t>
      </w:r>
      <w:r>
        <w:rPr>
          <w:rStyle w:val="textmquay"/>
          <w:rFonts w:ascii="Helvetica" w:hAnsi="Helvetica"/>
          <w:color w:val="333333"/>
          <w:szCs w:val="21"/>
          <w:shd w:val="clear" w:color="auto" w:fill="FFFFFF"/>
        </w:rPr>
        <w:t>588</w:t>
      </w:r>
      <w:r>
        <w:rPr>
          <w:rStyle w:val="textmquay"/>
          <w:rFonts w:ascii="Helvetica" w:hAnsi="Helvetica"/>
          <w:color w:val="333333"/>
          <w:szCs w:val="21"/>
          <w:shd w:val="clear" w:color="auto" w:fill="FFFFFF"/>
        </w:rPr>
        <w:t>号发布《</w:t>
      </w:r>
      <w:hyperlink r:id="rId6" w:tgtFrame="_blank" w:history="1">
        <w:r>
          <w:rPr>
            <w:rStyle w:val="a3"/>
            <w:rFonts w:ascii="Helvetica" w:hAnsi="Helvetica"/>
            <w:color w:val="136EC2"/>
            <w:szCs w:val="21"/>
            <w:shd w:val="clear" w:color="auto" w:fill="FFFFFF"/>
          </w:rPr>
          <w:t>国务院关于废止和修改部分行政法规的决定</w:t>
        </w:r>
      </w:hyperlink>
      <w:r>
        <w:rPr>
          <w:rStyle w:val="textmquay"/>
          <w:rFonts w:ascii="Helvetica" w:hAnsi="Helvetica"/>
          <w:color w:val="333333"/>
          <w:szCs w:val="21"/>
          <w:shd w:val="clear" w:color="auto" w:fill="FFFFFF"/>
        </w:rPr>
        <w:t>》，自公布之日起施行。根据该《决定》删去《现金管理暂行条例》第二十条、第二十一条、第二十二条。</w:t>
      </w:r>
    </w:p>
    <w:p w:rsidR="006532A4" w:rsidRPr="006532A4" w:rsidRDefault="006532A4" w:rsidP="006532A4">
      <w:pPr>
        <w:widowControl/>
        <w:shd w:val="clear" w:color="auto" w:fill="FFFFFF"/>
        <w:spacing w:line="360" w:lineRule="atLeast"/>
        <w:ind w:firstLine="480"/>
        <w:jc w:val="left"/>
        <w:rPr>
          <w:rFonts w:ascii="Helvetica" w:eastAsia="宋体" w:hAnsi="Helvetica" w:cs="宋体" w:hint="eastAsia"/>
          <w:color w:val="333333"/>
          <w:kern w:val="0"/>
          <w:szCs w:val="21"/>
        </w:rPr>
      </w:pPr>
      <w:bookmarkStart w:id="0" w:name="_GoBack"/>
      <w:bookmarkEnd w:id="0"/>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第一章　总则</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第一条　为改善现金管理，促进商品生产和流通，加强对社会经济活动的监督，制定本条例。</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第二条　凡在银行和其他金融机构</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以下简称开户银行</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开立账户的机关、团体、部队、企业、事业单位和其他单位</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以下简称开户单位</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，必须依照本条例的规定收支和使用现金，接受开户银行的监督。</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国家鼓励开户单位和个人在经济活动中，采取转账方式进行结算，减少使用现金。</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第三条　开户单位之间的经济往来，除按本条例规定的范围可以使用现金外，应当通过开户银行进行转账结算。</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第四条　各级人民银行应当严格履行金融主管机关的职责，负责对开户银行的现金管理进行监督和稽核。</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开户银行依照本条例和中国人民银行的规定，负责现金管理的具体实施，对开户单位收支、使用现金进行监督管理。</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第二章　现金管理和监督</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第五条　开户单位可以在下列范围内使用现金：</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proofErr w:type="gramStart"/>
      <w:r w:rsidRPr="006532A4">
        <w:rPr>
          <w:rFonts w:ascii="Helvetica" w:eastAsia="宋体" w:hAnsi="Helvetica" w:cs="宋体"/>
          <w:color w:val="333333"/>
          <w:kern w:val="0"/>
          <w:szCs w:val="21"/>
        </w:rPr>
        <w:t>一</w:t>
      </w:r>
      <w:proofErr w:type="gramEnd"/>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职工工资、津贴；</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二</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个人劳务报酬；</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三</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根据国家规定颁发给个人的科学技术、文化艺术、体育等各种奖金；</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四</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各种劳保，福利费用以及国家规定的对个人的其他支出；</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五</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向个人收购农副产品和其他物资的价款；</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六</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出差人员必须随身携带的差旅费；</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七</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结算起点以下的零星支出；</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八</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中国人民银行确定需要支付现金的其他支出。</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前款结算起点定为</w:t>
      </w:r>
      <w:r w:rsidRPr="006532A4">
        <w:rPr>
          <w:rFonts w:ascii="Helvetica" w:eastAsia="宋体" w:hAnsi="Helvetica" w:cs="宋体"/>
          <w:color w:val="333333"/>
          <w:kern w:val="0"/>
          <w:szCs w:val="21"/>
        </w:rPr>
        <w:t>1000</w:t>
      </w:r>
      <w:r w:rsidRPr="006532A4">
        <w:rPr>
          <w:rFonts w:ascii="Helvetica" w:eastAsia="宋体" w:hAnsi="Helvetica" w:cs="宋体"/>
          <w:color w:val="333333"/>
          <w:kern w:val="0"/>
          <w:szCs w:val="21"/>
        </w:rPr>
        <w:t>元。结算起点的调整，由中国人民银行确定，报国务院备案。</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第六条　除本条例第五条第</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五</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六</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项外，开户单位支付给个人的款项，超过使用现金限额的部分，应当以支票或者银行本票支付；确需全额支付现金的，经开户银行审核后，予以支付现金。</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前款使用现金限额，按本条例第五条第二款的规定执行。</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第七条　转账结算凭证在经济往来中，具有同现金相同的支付能力。</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lastRenderedPageBreak/>
        <w:t>开户单位在销售活动中，不得对现金结算给予比转账结算优惠待遇；不得拒收支票、银行汇票和银行本票。</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第八条　机关、团体、部队、全民所有制和集体所有制企业事业单位购置国家规定的专项控制商品，必须采取转账结算方式，不得使用现金。</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第九条　开户银行应当根据实际需要，核定开户单位</w:t>
      </w:r>
      <w:r w:rsidRPr="006532A4">
        <w:rPr>
          <w:rFonts w:ascii="Helvetica" w:eastAsia="宋体" w:hAnsi="Helvetica" w:cs="宋体"/>
          <w:color w:val="333333"/>
          <w:kern w:val="0"/>
          <w:szCs w:val="21"/>
        </w:rPr>
        <w:t>3</w:t>
      </w:r>
      <w:r w:rsidRPr="006532A4">
        <w:rPr>
          <w:rFonts w:ascii="Helvetica" w:eastAsia="宋体" w:hAnsi="Helvetica" w:cs="宋体"/>
          <w:color w:val="333333"/>
          <w:kern w:val="0"/>
          <w:szCs w:val="21"/>
        </w:rPr>
        <w:t>天至</w:t>
      </w:r>
      <w:r w:rsidRPr="006532A4">
        <w:rPr>
          <w:rFonts w:ascii="Helvetica" w:eastAsia="宋体" w:hAnsi="Helvetica" w:cs="宋体"/>
          <w:color w:val="333333"/>
          <w:kern w:val="0"/>
          <w:szCs w:val="21"/>
        </w:rPr>
        <w:t>5</w:t>
      </w:r>
      <w:r w:rsidRPr="006532A4">
        <w:rPr>
          <w:rFonts w:ascii="Helvetica" w:eastAsia="宋体" w:hAnsi="Helvetica" w:cs="宋体"/>
          <w:color w:val="333333"/>
          <w:kern w:val="0"/>
          <w:szCs w:val="21"/>
        </w:rPr>
        <w:t>天的日常零星开支所需的库存现金限额。</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边远地区和交通不便地区的开户单位的库存现金限额，可以多于</w:t>
      </w:r>
      <w:r w:rsidRPr="006532A4">
        <w:rPr>
          <w:rFonts w:ascii="Helvetica" w:eastAsia="宋体" w:hAnsi="Helvetica" w:cs="宋体"/>
          <w:color w:val="333333"/>
          <w:kern w:val="0"/>
          <w:szCs w:val="21"/>
        </w:rPr>
        <w:t>5</w:t>
      </w:r>
      <w:r w:rsidRPr="006532A4">
        <w:rPr>
          <w:rFonts w:ascii="Helvetica" w:eastAsia="宋体" w:hAnsi="Helvetica" w:cs="宋体"/>
          <w:color w:val="333333"/>
          <w:kern w:val="0"/>
          <w:szCs w:val="21"/>
        </w:rPr>
        <w:t>天，但不得超过</w:t>
      </w:r>
      <w:r w:rsidRPr="006532A4">
        <w:rPr>
          <w:rFonts w:ascii="Helvetica" w:eastAsia="宋体" w:hAnsi="Helvetica" w:cs="宋体"/>
          <w:color w:val="333333"/>
          <w:kern w:val="0"/>
          <w:szCs w:val="21"/>
        </w:rPr>
        <w:t>15</w:t>
      </w:r>
      <w:r w:rsidRPr="006532A4">
        <w:rPr>
          <w:rFonts w:ascii="Helvetica" w:eastAsia="宋体" w:hAnsi="Helvetica" w:cs="宋体"/>
          <w:color w:val="333333"/>
          <w:kern w:val="0"/>
          <w:szCs w:val="21"/>
        </w:rPr>
        <w:t>天的日常零星开支。</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第十条　经核定的库存现金限额，开户单位必须严格遵守。需要增加或者减少库存现金限额的，应当向开户银行提出申请，由开户银行核定。</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第十一条　开户单位现金收支应当依照下列规定办理：</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proofErr w:type="gramStart"/>
      <w:r w:rsidRPr="006532A4">
        <w:rPr>
          <w:rFonts w:ascii="Helvetica" w:eastAsia="宋体" w:hAnsi="Helvetica" w:cs="宋体"/>
          <w:color w:val="333333"/>
          <w:kern w:val="0"/>
          <w:szCs w:val="21"/>
        </w:rPr>
        <w:t>一</w:t>
      </w:r>
      <w:proofErr w:type="gramEnd"/>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开户单位现金收入应当于当日送存开户银行。当日送存确有困难的，由开户银行确定送存时间；</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二</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开户单位支付现金，可以从本单位库存现金限额中支付或者从开户银行提取，不得从本单位的现金收入中直接支付</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即坐支</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。因特殊情况需要坐支现金的，应当事先报经开户银行审查批准，由开户银行核定坐支范围和限额。坐支单位应当定期向开户银行报送坐支金额和使用情况；</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三</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开户单位根据本条例第五条和第六条的规定，从开户银行提取现金，应当写明用途，由本单位财会部门负责人签字盖章，经开户银行审核后，予以支付现金；</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四</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因采购地点不固定，交通不便，生产或者市场急需，抢险救灾以及其他特殊情况必须使用现金的，开户单位应当向开户银行提出申请，由本单位财会部门负责人签字盖章，经开户银行审核后，予以支付现金。</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第十二条　开户单位应当建立健全现金账目，逐笔记载现金支付。账目应当日清月结，账款相符。</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第十三条　对个体工商户、农村承包经营户发放的贷款，应当以转账方式支付。对确需在集市使用现金购买物资的，经开户银行审核后，可以在贷款金额内支付现金。</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第十四条　在开户银行开户的个体工商户、农村承包经营户异地采购所需货款，应当通过银行汇兑方式支付。因采购地点不固定，交通不便必须携带现金的，由开户银行根据实际需要，予以支付现金。</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未在开户银行开户的个体工商户、农村承包经营户异地采购所需货款，可以通过银行汇兑方式支付。凡加盖</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现金</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字样的结算凭证，汇入银行必须保证支付现金。</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第十五条　具备条件的银行应当接受开户单位的委托，开展代发工资、转存储蓄业务。</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第十六条　为保证开户单位的现金收入及时送存银行，开户银行必须按照规定做好现金收款工作，不得随意缩短收款时间。大中城市和商业比较集中的地区，应当建立非营业时间收款制度。</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第十七条　开户银行应当加强柜台审查，定期和不定期地对开户单位现金收支情况进行检查，并按规定向当地人民银行报告现金管理情况。</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lastRenderedPageBreak/>
        <w:t>第十八条　一个单位在几家银行开户的，由一家开户银行负责现金管理工作，核定开户单位库存现金限额。</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各金融机构的现金管理分工，由中国人民银行确定。有关现金管理分工的争议，由当地人民银行协调、裁决。</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第十九条　开户银行应当建立健全现金管理制度，配备专职人员，改进工作作风，改善服务设施。现金管理工作所需经费应当在开户银行业务费中解决。</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第三章　法律责任</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第二十条　开户单位有下列情形之一的，开户银行应当依照中国人民银行的规定，责令其停止违法活动，并可根据情节轻重处以罚款：</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proofErr w:type="gramStart"/>
      <w:r w:rsidRPr="006532A4">
        <w:rPr>
          <w:rFonts w:ascii="Helvetica" w:eastAsia="宋体" w:hAnsi="Helvetica" w:cs="宋体"/>
          <w:color w:val="333333"/>
          <w:kern w:val="0"/>
          <w:szCs w:val="21"/>
        </w:rPr>
        <w:t>一</w:t>
      </w:r>
      <w:proofErr w:type="gramEnd"/>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超出规定范围、限额使用现金的；</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二</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超出核定的库存现金限额留存现金的。</w:t>
      </w:r>
      <w:r w:rsidRPr="006532A4">
        <w:rPr>
          <w:rFonts w:ascii="Helvetica" w:eastAsia="宋体" w:hAnsi="Helvetica" w:cs="宋体"/>
          <w:color w:val="333333"/>
          <w:kern w:val="0"/>
          <w:szCs w:val="21"/>
        </w:rPr>
        <w:t>(2011</w:t>
      </w:r>
      <w:r w:rsidRPr="006532A4">
        <w:rPr>
          <w:rFonts w:ascii="Helvetica" w:eastAsia="宋体" w:hAnsi="Helvetica" w:cs="宋体"/>
          <w:color w:val="333333"/>
          <w:kern w:val="0"/>
          <w:szCs w:val="21"/>
        </w:rPr>
        <w:t>年</w:t>
      </w:r>
      <w:r w:rsidRPr="006532A4">
        <w:rPr>
          <w:rFonts w:ascii="Helvetica" w:eastAsia="宋体" w:hAnsi="Helvetica" w:cs="宋体"/>
          <w:color w:val="333333"/>
          <w:kern w:val="0"/>
          <w:szCs w:val="21"/>
        </w:rPr>
        <w:t>1</w:t>
      </w:r>
      <w:r w:rsidRPr="006532A4">
        <w:rPr>
          <w:rFonts w:ascii="Helvetica" w:eastAsia="宋体" w:hAnsi="Helvetica" w:cs="宋体"/>
          <w:color w:val="333333"/>
          <w:kern w:val="0"/>
          <w:szCs w:val="21"/>
        </w:rPr>
        <w:t>月</w:t>
      </w:r>
      <w:r w:rsidRPr="006532A4">
        <w:rPr>
          <w:rFonts w:ascii="Helvetica" w:eastAsia="宋体" w:hAnsi="Helvetica" w:cs="宋体"/>
          <w:color w:val="333333"/>
          <w:kern w:val="0"/>
          <w:szCs w:val="21"/>
        </w:rPr>
        <w:t>8</w:t>
      </w:r>
      <w:r w:rsidRPr="006532A4">
        <w:rPr>
          <w:rFonts w:ascii="Helvetica" w:eastAsia="宋体" w:hAnsi="Helvetica" w:cs="宋体"/>
          <w:color w:val="333333"/>
          <w:kern w:val="0"/>
          <w:szCs w:val="21"/>
        </w:rPr>
        <w:t>日删除</w:t>
      </w:r>
      <w:r w:rsidRPr="006532A4">
        <w:rPr>
          <w:rFonts w:ascii="Helvetica" w:eastAsia="宋体" w:hAnsi="Helvetica" w:cs="宋体"/>
          <w:color w:val="333333"/>
          <w:kern w:val="0"/>
          <w:szCs w:val="21"/>
        </w:rPr>
        <w:t>)</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第二十一条　开户单位有下列情形之一的，开户银行应当依照中国人民银行的规定，予以警告或者罚款；情节严重的，可在一定期限内停止对该单位的贷款或者停止对该单位的现金支付：</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一</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对现金结算给予比转账结算优惠待遇的；</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二</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拒收支票、银行汇票和银行本票的；</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三</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违反本条例第八条规定，不采取转账结算方式购置</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国家规定的专项控制商品的；</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四</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用不符合财务会计制度规定的凭证顶替库存现金的；</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五</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用转账凭证套换现金的；</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六</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编造用途套取现金的；</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七</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互相借用现金的；</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八</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利用账户替其他单位和个人套取现金的；</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九</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将单位的现金收入按个人储蓄方式存入银行的；</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十</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保留账外公款的；</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十一</w:t>
      </w:r>
      <w:r w:rsidRPr="006532A4">
        <w:rPr>
          <w:rFonts w:ascii="Helvetica" w:eastAsia="宋体" w:hAnsi="Helvetica" w:cs="宋体"/>
          <w:color w:val="333333"/>
          <w:kern w:val="0"/>
          <w:szCs w:val="21"/>
        </w:rPr>
        <w:t>)</w:t>
      </w:r>
      <w:r w:rsidRPr="006532A4">
        <w:rPr>
          <w:rFonts w:ascii="Helvetica" w:eastAsia="宋体" w:hAnsi="Helvetica" w:cs="宋体"/>
          <w:color w:val="333333"/>
          <w:kern w:val="0"/>
          <w:szCs w:val="21"/>
        </w:rPr>
        <w:t>未经批准坐支或者未按开户银行核定的坐支范围和限额坐支现金的。</w:t>
      </w:r>
      <w:r w:rsidRPr="006532A4">
        <w:rPr>
          <w:rFonts w:ascii="Helvetica" w:eastAsia="宋体" w:hAnsi="Helvetica" w:cs="宋体"/>
          <w:color w:val="333333"/>
          <w:kern w:val="0"/>
          <w:szCs w:val="21"/>
        </w:rPr>
        <w:t>(2011</w:t>
      </w:r>
      <w:r w:rsidRPr="006532A4">
        <w:rPr>
          <w:rFonts w:ascii="Helvetica" w:eastAsia="宋体" w:hAnsi="Helvetica" w:cs="宋体"/>
          <w:color w:val="333333"/>
          <w:kern w:val="0"/>
          <w:szCs w:val="21"/>
        </w:rPr>
        <w:t>年</w:t>
      </w:r>
      <w:r w:rsidRPr="006532A4">
        <w:rPr>
          <w:rFonts w:ascii="Helvetica" w:eastAsia="宋体" w:hAnsi="Helvetica" w:cs="宋体"/>
          <w:color w:val="333333"/>
          <w:kern w:val="0"/>
          <w:szCs w:val="21"/>
        </w:rPr>
        <w:t>1</w:t>
      </w:r>
      <w:r w:rsidRPr="006532A4">
        <w:rPr>
          <w:rFonts w:ascii="Helvetica" w:eastAsia="宋体" w:hAnsi="Helvetica" w:cs="宋体"/>
          <w:color w:val="333333"/>
          <w:kern w:val="0"/>
          <w:szCs w:val="21"/>
        </w:rPr>
        <w:t>月</w:t>
      </w:r>
      <w:r w:rsidRPr="006532A4">
        <w:rPr>
          <w:rFonts w:ascii="Helvetica" w:eastAsia="宋体" w:hAnsi="Helvetica" w:cs="宋体"/>
          <w:color w:val="333333"/>
          <w:kern w:val="0"/>
          <w:szCs w:val="21"/>
        </w:rPr>
        <w:t>8</w:t>
      </w:r>
      <w:r w:rsidRPr="006532A4">
        <w:rPr>
          <w:rFonts w:ascii="Helvetica" w:eastAsia="宋体" w:hAnsi="Helvetica" w:cs="宋体"/>
          <w:color w:val="333333"/>
          <w:kern w:val="0"/>
          <w:szCs w:val="21"/>
        </w:rPr>
        <w:t>日删除</w:t>
      </w:r>
      <w:r w:rsidRPr="006532A4">
        <w:rPr>
          <w:rFonts w:ascii="Helvetica" w:eastAsia="宋体" w:hAnsi="Helvetica" w:cs="宋体"/>
          <w:color w:val="333333"/>
          <w:kern w:val="0"/>
          <w:szCs w:val="21"/>
        </w:rPr>
        <w:t>)</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第二十二条　开户单位对开户银行</w:t>
      </w:r>
      <w:proofErr w:type="gramStart"/>
      <w:r w:rsidRPr="006532A4">
        <w:rPr>
          <w:rFonts w:ascii="Helvetica" w:eastAsia="宋体" w:hAnsi="Helvetica" w:cs="宋体"/>
          <w:color w:val="333333"/>
          <w:kern w:val="0"/>
          <w:szCs w:val="21"/>
        </w:rPr>
        <w:t>作出</w:t>
      </w:r>
      <w:proofErr w:type="gramEnd"/>
      <w:r w:rsidRPr="006532A4">
        <w:rPr>
          <w:rFonts w:ascii="Helvetica" w:eastAsia="宋体" w:hAnsi="Helvetica" w:cs="宋体"/>
          <w:color w:val="333333"/>
          <w:kern w:val="0"/>
          <w:szCs w:val="21"/>
        </w:rPr>
        <w:t>的处罚决定不服的，必须首先按照处罚决定执行，然后可在</w:t>
      </w:r>
      <w:r w:rsidRPr="006532A4">
        <w:rPr>
          <w:rFonts w:ascii="Helvetica" w:eastAsia="宋体" w:hAnsi="Helvetica" w:cs="宋体"/>
          <w:color w:val="333333"/>
          <w:kern w:val="0"/>
          <w:szCs w:val="21"/>
        </w:rPr>
        <w:t>10</w:t>
      </w:r>
      <w:r w:rsidRPr="006532A4">
        <w:rPr>
          <w:rFonts w:ascii="Helvetica" w:eastAsia="宋体" w:hAnsi="Helvetica" w:cs="宋体"/>
          <w:color w:val="333333"/>
          <w:kern w:val="0"/>
          <w:szCs w:val="21"/>
        </w:rPr>
        <w:t>日内向开户银行的同级人民银行申请复议。同级人民银行应当在收到复议申请之日起</w:t>
      </w:r>
      <w:r w:rsidRPr="006532A4">
        <w:rPr>
          <w:rFonts w:ascii="Helvetica" w:eastAsia="宋体" w:hAnsi="Helvetica" w:cs="宋体"/>
          <w:color w:val="333333"/>
          <w:kern w:val="0"/>
          <w:szCs w:val="21"/>
        </w:rPr>
        <w:t>30</w:t>
      </w:r>
      <w:r w:rsidRPr="006532A4">
        <w:rPr>
          <w:rFonts w:ascii="Helvetica" w:eastAsia="宋体" w:hAnsi="Helvetica" w:cs="宋体"/>
          <w:color w:val="333333"/>
          <w:kern w:val="0"/>
          <w:szCs w:val="21"/>
        </w:rPr>
        <w:t>日内</w:t>
      </w:r>
      <w:proofErr w:type="gramStart"/>
      <w:r w:rsidRPr="006532A4">
        <w:rPr>
          <w:rFonts w:ascii="Helvetica" w:eastAsia="宋体" w:hAnsi="Helvetica" w:cs="宋体"/>
          <w:color w:val="333333"/>
          <w:kern w:val="0"/>
          <w:szCs w:val="21"/>
        </w:rPr>
        <w:t>作出</w:t>
      </w:r>
      <w:proofErr w:type="gramEnd"/>
      <w:r w:rsidRPr="006532A4">
        <w:rPr>
          <w:rFonts w:ascii="Helvetica" w:eastAsia="宋体" w:hAnsi="Helvetica" w:cs="宋体"/>
          <w:color w:val="333333"/>
          <w:kern w:val="0"/>
          <w:szCs w:val="21"/>
        </w:rPr>
        <w:t>复议决定。开户单位对复议决定不服的，可以在收到复议决定之日起</w:t>
      </w:r>
      <w:r w:rsidRPr="006532A4">
        <w:rPr>
          <w:rFonts w:ascii="Helvetica" w:eastAsia="宋体" w:hAnsi="Helvetica" w:cs="宋体"/>
          <w:color w:val="333333"/>
          <w:kern w:val="0"/>
          <w:szCs w:val="21"/>
        </w:rPr>
        <w:t>30</w:t>
      </w:r>
      <w:r w:rsidRPr="006532A4">
        <w:rPr>
          <w:rFonts w:ascii="Helvetica" w:eastAsia="宋体" w:hAnsi="Helvetica" w:cs="宋体"/>
          <w:color w:val="333333"/>
          <w:kern w:val="0"/>
          <w:szCs w:val="21"/>
        </w:rPr>
        <w:t>日内向人民法院起诉。</w:t>
      </w:r>
      <w:r w:rsidRPr="006532A4">
        <w:rPr>
          <w:rFonts w:ascii="Helvetica" w:eastAsia="宋体" w:hAnsi="Helvetica" w:cs="宋体"/>
          <w:color w:val="333333"/>
          <w:kern w:val="0"/>
          <w:szCs w:val="21"/>
        </w:rPr>
        <w:t>(2011</w:t>
      </w:r>
      <w:r w:rsidRPr="006532A4">
        <w:rPr>
          <w:rFonts w:ascii="Helvetica" w:eastAsia="宋体" w:hAnsi="Helvetica" w:cs="宋体"/>
          <w:color w:val="333333"/>
          <w:kern w:val="0"/>
          <w:szCs w:val="21"/>
        </w:rPr>
        <w:t>年</w:t>
      </w:r>
      <w:r w:rsidRPr="006532A4">
        <w:rPr>
          <w:rFonts w:ascii="Helvetica" w:eastAsia="宋体" w:hAnsi="Helvetica" w:cs="宋体"/>
          <w:color w:val="333333"/>
          <w:kern w:val="0"/>
          <w:szCs w:val="21"/>
        </w:rPr>
        <w:t>1</w:t>
      </w:r>
      <w:r w:rsidRPr="006532A4">
        <w:rPr>
          <w:rFonts w:ascii="Helvetica" w:eastAsia="宋体" w:hAnsi="Helvetica" w:cs="宋体"/>
          <w:color w:val="333333"/>
          <w:kern w:val="0"/>
          <w:szCs w:val="21"/>
        </w:rPr>
        <w:t>月</w:t>
      </w:r>
      <w:r w:rsidRPr="006532A4">
        <w:rPr>
          <w:rFonts w:ascii="Helvetica" w:eastAsia="宋体" w:hAnsi="Helvetica" w:cs="宋体"/>
          <w:color w:val="333333"/>
          <w:kern w:val="0"/>
          <w:szCs w:val="21"/>
        </w:rPr>
        <w:t>8</w:t>
      </w:r>
      <w:r w:rsidRPr="006532A4">
        <w:rPr>
          <w:rFonts w:ascii="Helvetica" w:eastAsia="宋体" w:hAnsi="Helvetica" w:cs="宋体"/>
          <w:color w:val="333333"/>
          <w:kern w:val="0"/>
          <w:szCs w:val="21"/>
        </w:rPr>
        <w:t>日删除</w:t>
      </w:r>
      <w:r w:rsidRPr="006532A4">
        <w:rPr>
          <w:rFonts w:ascii="Helvetica" w:eastAsia="宋体" w:hAnsi="Helvetica" w:cs="宋体"/>
          <w:color w:val="333333"/>
          <w:kern w:val="0"/>
          <w:szCs w:val="21"/>
        </w:rPr>
        <w:t>)</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第二十三条　银行工作人员违反本条例规定，徇私舞弊、贪污受贿、玩忽职守纵容违法行为的，应当根据情节轻重，给予行政处分和经济处罚；构成犯罪的，由司法机关依法追究刑事责任。</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第四章　附则</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第二十四条　本条例由中国人民银行负责解释；施行细则由中国人民银行制定。</w:t>
      </w:r>
    </w:p>
    <w:p w:rsidR="006532A4" w:rsidRPr="006532A4" w:rsidRDefault="006532A4" w:rsidP="006532A4">
      <w:pPr>
        <w:widowControl/>
        <w:shd w:val="clear" w:color="auto" w:fill="FFFFFF"/>
        <w:spacing w:line="360" w:lineRule="atLeast"/>
        <w:ind w:firstLine="480"/>
        <w:jc w:val="left"/>
        <w:rPr>
          <w:rFonts w:ascii="Helvetica" w:eastAsia="宋体" w:hAnsi="Helvetica" w:cs="宋体"/>
          <w:color w:val="333333"/>
          <w:kern w:val="0"/>
          <w:szCs w:val="21"/>
        </w:rPr>
      </w:pPr>
      <w:r w:rsidRPr="006532A4">
        <w:rPr>
          <w:rFonts w:ascii="Helvetica" w:eastAsia="宋体" w:hAnsi="Helvetica" w:cs="宋体"/>
          <w:color w:val="333333"/>
          <w:kern w:val="0"/>
          <w:szCs w:val="21"/>
        </w:rPr>
        <w:t>第二十五条　本条例自</w:t>
      </w:r>
      <w:r w:rsidRPr="006532A4">
        <w:rPr>
          <w:rFonts w:ascii="Helvetica" w:eastAsia="宋体" w:hAnsi="Helvetica" w:cs="宋体"/>
          <w:color w:val="333333"/>
          <w:kern w:val="0"/>
          <w:szCs w:val="21"/>
        </w:rPr>
        <w:t>1988</w:t>
      </w:r>
      <w:r w:rsidRPr="006532A4">
        <w:rPr>
          <w:rFonts w:ascii="Helvetica" w:eastAsia="宋体" w:hAnsi="Helvetica" w:cs="宋体"/>
          <w:color w:val="333333"/>
          <w:kern w:val="0"/>
          <w:szCs w:val="21"/>
        </w:rPr>
        <w:t>年</w:t>
      </w:r>
      <w:r w:rsidRPr="006532A4">
        <w:rPr>
          <w:rFonts w:ascii="Helvetica" w:eastAsia="宋体" w:hAnsi="Helvetica" w:cs="宋体"/>
          <w:color w:val="333333"/>
          <w:kern w:val="0"/>
          <w:szCs w:val="21"/>
        </w:rPr>
        <w:t>10</w:t>
      </w:r>
      <w:r w:rsidRPr="006532A4">
        <w:rPr>
          <w:rFonts w:ascii="Helvetica" w:eastAsia="宋体" w:hAnsi="Helvetica" w:cs="宋体"/>
          <w:color w:val="333333"/>
          <w:kern w:val="0"/>
          <w:szCs w:val="21"/>
        </w:rPr>
        <w:t>月</w:t>
      </w:r>
      <w:r w:rsidRPr="006532A4">
        <w:rPr>
          <w:rFonts w:ascii="Helvetica" w:eastAsia="宋体" w:hAnsi="Helvetica" w:cs="宋体"/>
          <w:color w:val="333333"/>
          <w:kern w:val="0"/>
          <w:szCs w:val="21"/>
        </w:rPr>
        <w:t>1</w:t>
      </w:r>
      <w:r w:rsidRPr="006532A4">
        <w:rPr>
          <w:rFonts w:ascii="Helvetica" w:eastAsia="宋体" w:hAnsi="Helvetica" w:cs="宋体"/>
          <w:color w:val="333333"/>
          <w:kern w:val="0"/>
          <w:szCs w:val="21"/>
        </w:rPr>
        <w:t>日起施行。</w:t>
      </w:r>
      <w:r w:rsidRPr="006532A4">
        <w:rPr>
          <w:rFonts w:ascii="Helvetica" w:eastAsia="宋体" w:hAnsi="Helvetica" w:cs="宋体"/>
          <w:color w:val="333333"/>
          <w:kern w:val="0"/>
          <w:szCs w:val="21"/>
        </w:rPr>
        <w:t>1977</w:t>
      </w:r>
      <w:r w:rsidRPr="006532A4">
        <w:rPr>
          <w:rFonts w:ascii="Helvetica" w:eastAsia="宋体" w:hAnsi="Helvetica" w:cs="宋体"/>
          <w:color w:val="333333"/>
          <w:kern w:val="0"/>
          <w:szCs w:val="21"/>
        </w:rPr>
        <w:t>年</w:t>
      </w:r>
      <w:r w:rsidRPr="006532A4">
        <w:rPr>
          <w:rFonts w:ascii="Helvetica" w:eastAsia="宋体" w:hAnsi="Helvetica" w:cs="宋体"/>
          <w:color w:val="333333"/>
          <w:kern w:val="0"/>
          <w:szCs w:val="21"/>
        </w:rPr>
        <w:t>11</w:t>
      </w:r>
      <w:r w:rsidRPr="006532A4">
        <w:rPr>
          <w:rFonts w:ascii="Helvetica" w:eastAsia="宋体" w:hAnsi="Helvetica" w:cs="宋体"/>
          <w:color w:val="333333"/>
          <w:kern w:val="0"/>
          <w:szCs w:val="21"/>
        </w:rPr>
        <w:t>月</w:t>
      </w:r>
      <w:r w:rsidRPr="006532A4">
        <w:rPr>
          <w:rFonts w:ascii="Helvetica" w:eastAsia="宋体" w:hAnsi="Helvetica" w:cs="宋体"/>
          <w:color w:val="333333"/>
          <w:kern w:val="0"/>
          <w:szCs w:val="21"/>
        </w:rPr>
        <w:t>28</w:t>
      </w:r>
      <w:r w:rsidRPr="006532A4">
        <w:rPr>
          <w:rFonts w:ascii="Helvetica" w:eastAsia="宋体" w:hAnsi="Helvetica" w:cs="宋体"/>
          <w:color w:val="333333"/>
          <w:kern w:val="0"/>
          <w:szCs w:val="21"/>
        </w:rPr>
        <w:t>日发布的《国务院关于实行现金管理的决定》同时废止</w:t>
      </w:r>
    </w:p>
    <w:p w:rsidR="00983AEE" w:rsidRPr="006532A4" w:rsidRDefault="00983AEE"/>
    <w:sectPr w:rsidR="00983AEE" w:rsidRPr="00653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A4"/>
    <w:rsid w:val="006532A4"/>
    <w:rsid w:val="0098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99E9"/>
  <w15:chartTrackingRefBased/>
  <w15:docId w15:val="{3F054691-87B1-42F4-956D-BFA3DD73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mquay">
    <w:name w:val="text_mquay"/>
    <w:basedOn w:val="a0"/>
    <w:rsid w:val="006532A4"/>
  </w:style>
  <w:style w:type="character" w:styleId="a3">
    <w:name w:val="Hyperlink"/>
    <w:basedOn w:val="a0"/>
    <w:uiPriority w:val="99"/>
    <w:semiHidden/>
    <w:unhideWhenUsed/>
    <w:rsid w:val="00653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7996">
      <w:bodyDiv w:val="1"/>
      <w:marLeft w:val="0"/>
      <w:marRight w:val="0"/>
      <w:marTop w:val="0"/>
      <w:marBottom w:val="0"/>
      <w:divBdr>
        <w:top w:val="none" w:sz="0" w:space="0" w:color="auto"/>
        <w:left w:val="none" w:sz="0" w:space="0" w:color="auto"/>
        <w:bottom w:val="none" w:sz="0" w:space="0" w:color="auto"/>
        <w:right w:val="none" w:sz="0" w:space="0" w:color="auto"/>
      </w:divBdr>
      <w:divsChild>
        <w:div w:id="1938169422">
          <w:marLeft w:val="0"/>
          <w:marRight w:val="0"/>
          <w:marTop w:val="0"/>
          <w:marBottom w:val="225"/>
          <w:divBdr>
            <w:top w:val="none" w:sz="0" w:space="0" w:color="auto"/>
            <w:left w:val="none" w:sz="0" w:space="0" w:color="auto"/>
            <w:bottom w:val="none" w:sz="0" w:space="0" w:color="auto"/>
            <w:right w:val="none" w:sz="0" w:space="0" w:color="auto"/>
          </w:divBdr>
        </w:div>
        <w:div w:id="707877721">
          <w:marLeft w:val="0"/>
          <w:marRight w:val="0"/>
          <w:marTop w:val="0"/>
          <w:marBottom w:val="225"/>
          <w:divBdr>
            <w:top w:val="none" w:sz="0" w:space="0" w:color="auto"/>
            <w:left w:val="none" w:sz="0" w:space="0" w:color="auto"/>
            <w:bottom w:val="none" w:sz="0" w:space="0" w:color="auto"/>
            <w:right w:val="none" w:sz="0" w:space="0" w:color="auto"/>
          </w:divBdr>
        </w:div>
        <w:div w:id="112135425">
          <w:marLeft w:val="0"/>
          <w:marRight w:val="0"/>
          <w:marTop w:val="0"/>
          <w:marBottom w:val="225"/>
          <w:divBdr>
            <w:top w:val="none" w:sz="0" w:space="0" w:color="auto"/>
            <w:left w:val="none" w:sz="0" w:space="0" w:color="auto"/>
            <w:bottom w:val="none" w:sz="0" w:space="0" w:color="auto"/>
            <w:right w:val="none" w:sz="0" w:space="0" w:color="auto"/>
          </w:divBdr>
        </w:div>
        <w:div w:id="1967153989">
          <w:marLeft w:val="0"/>
          <w:marRight w:val="0"/>
          <w:marTop w:val="0"/>
          <w:marBottom w:val="225"/>
          <w:divBdr>
            <w:top w:val="none" w:sz="0" w:space="0" w:color="auto"/>
            <w:left w:val="none" w:sz="0" w:space="0" w:color="auto"/>
            <w:bottom w:val="none" w:sz="0" w:space="0" w:color="auto"/>
            <w:right w:val="none" w:sz="0" w:space="0" w:color="auto"/>
          </w:divBdr>
        </w:div>
        <w:div w:id="79758751">
          <w:marLeft w:val="0"/>
          <w:marRight w:val="0"/>
          <w:marTop w:val="0"/>
          <w:marBottom w:val="225"/>
          <w:divBdr>
            <w:top w:val="none" w:sz="0" w:space="0" w:color="auto"/>
            <w:left w:val="none" w:sz="0" w:space="0" w:color="auto"/>
            <w:bottom w:val="none" w:sz="0" w:space="0" w:color="auto"/>
            <w:right w:val="none" w:sz="0" w:space="0" w:color="auto"/>
          </w:divBdr>
        </w:div>
        <w:div w:id="893932822">
          <w:marLeft w:val="0"/>
          <w:marRight w:val="0"/>
          <w:marTop w:val="0"/>
          <w:marBottom w:val="225"/>
          <w:divBdr>
            <w:top w:val="none" w:sz="0" w:space="0" w:color="auto"/>
            <w:left w:val="none" w:sz="0" w:space="0" w:color="auto"/>
            <w:bottom w:val="none" w:sz="0" w:space="0" w:color="auto"/>
            <w:right w:val="none" w:sz="0" w:space="0" w:color="auto"/>
          </w:divBdr>
        </w:div>
        <w:div w:id="1554272255">
          <w:marLeft w:val="0"/>
          <w:marRight w:val="0"/>
          <w:marTop w:val="0"/>
          <w:marBottom w:val="225"/>
          <w:divBdr>
            <w:top w:val="none" w:sz="0" w:space="0" w:color="auto"/>
            <w:left w:val="none" w:sz="0" w:space="0" w:color="auto"/>
            <w:bottom w:val="none" w:sz="0" w:space="0" w:color="auto"/>
            <w:right w:val="none" w:sz="0" w:space="0" w:color="auto"/>
          </w:divBdr>
        </w:div>
        <w:div w:id="425224707">
          <w:marLeft w:val="0"/>
          <w:marRight w:val="0"/>
          <w:marTop w:val="0"/>
          <w:marBottom w:val="225"/>
          <w:divBdr>
            <w:top w:val="none" w:sz="0" w:space="0" w:color="auto"/>
            <w:left w:val="none" w:sz="0" w:space="0" w:color="auto"/>
            <w:bottom w:val="none" w:sz="0" w:space="0" w:color="auto"/>
            <w:right w:val="none" w:sz="0" w:space="0" w:color="auto"/>
          </w:divBdr>
        </w:div>
        <w:div w:id="496073970">
          <w:marLeft w:val="0"/>
          <w:marRight w:val="0"/>
          <w:marTop w:val="0"/>
          <w:marBottom w:val="225"/>
          <w:divBdr>
            <w:top w:val="none" w:sz="0" w:space="0" w:color="auto"/>
            <w:left w:val="none" w:sz="0" w:space="0" w:color="auto"/>
            <w:bottom w:val="none" w:sz="0" w:space="0" w:color="auto"/>
            <w:right w:val="none" w:sz="0" w:space="0" w:color="auto"/>
          </w:divBdr>
        </w:div>
        <w:div w:id="1799294576">
          <w:marLeft w:val="0"/>
          <w:marRight w:val="0"/>
          <w:marTop w:val="0"/>
          <w:marBottom w:val="225"/>
          <w:divBdr>
            <w:top w:val="none" w:sz="0" w:space="0" w:color="auto"/>
            <w:left w:val="none" w:sz="0" w:space="0" w:color="auto"/>
            <w:bottom w:val="none" w:sz="0" w:space="0" w:color="auto"/>
            <w:right w:val="none" w:sz="0" w:space="0" w:color="auto"/>
          </w:divBdr>
        </w:div>
        <w:div w:id="1716999376">
          <w:marLeft w:val="0"/>
          <w:marRight w:val="0"/>
          <w:marTop w:val="0"/>
          <w:marBottom w:val="225"/>
          <w:divBdr>
            <w:top w:val="none" w:sz="0" w:space="0" w:color="auto"/>
            <w:left w:val="none" w:sz="0" w:space="0" w:color="auto"/>
            <w:bottom w:val="none" w:sz="0" w:space="0" w:color="auto"/>
            <w:right w:val="none" w:sz="0" w:space="0" w:color="auto"/>
          </w:divBdr>
        </w:div>
        <w:div w:id="1328283676">
          <w:marLeft w:val="0"/>
          <w:marRight w:val="0"/>
          <w:marTop w:val="0"/>
          <w:marBottom w:val="225"/>
          <w:divBdr>
            <w:top w:val="none" w:sz="0" w:space="0" w:color="auto"/>
            <w:left w:val="none" w:sz="0" w:space="0" w:color="auto"/>
            <w:bottom w:val="none" w:sz="0" w:space="0" w:color="auto"/>
            <w:right w:val="none" w:sz="0" w:space="0" w:color="auto"/>
          </w:divBdr>
        </w:div>
        <w:div w:id="1104574727">
          <w:marLeft w:val="0"/>
          <w:marRight w:val="0"/>
          <w:marTop w:val="0"/>
          <w:marBottom w:val="225"/>
          <w:divBdr>
            <w:top w:val="none" w:sz="0" w:space="0" w:color="auto"/>
            <w:left w:val="none" w:sz="0" w:space="0" w:color="auto"/>
            <w:bottom w:val="none" w:sz="0" w:space="0" w:color="auto"/>
            <w:right w:val="none" w:sz="0" w:space="0" w:color="auto"/>
          </w:divBdr>
        </w:div>
        <w:div w:id="488790654">
          <w:marLeft w:val="0"/>
          <w:marRight w:val="0"/>
          <w:marTop w:val="0"/>
          <w:marBottom w:val="225"/>
          <w:divBdr>
            <w:top w:val="none" w:sz="0" w:space="0" w:color="auto"/>
            <w:left w:val="none" w:sz="0" w:space="0" w:color="auto"/>
            <w:bottom w:val="none" w:sz="0" w:space="0" w:color="auto"/>
            <w:right w:val="none" w:sz="0" w:space="0" w:color="auto"/>
          </w:divBdr>
        </w:div>
        <w:div w:id="831945561">
          <w:marLeft w:val="0"/>
          <w:marRight w:val="0"/>
          <w:marTop w:val="0"/>
          <w:marBottom w:val="225"/>
          <w:divBdr>
            <w:top w:val="none" w:sz="0" w:space="0" w:color="auto"/>
            <w:left w:val="none" w:sz="0" w:space="0" w:color="auto"/>
            <w:bottom w:val="none" w:sz="0" w:space="0" w:color="auto"/>
            <w:right w:val="none" w:sz="0" w:space="0" w:color="auto"/>
          </w:divBdr>
        </w:div>
        <w:div w:id="764114584">
          <w:marLeft w:val="0"/>
          <w:marRight w:val="0"/>
          <w:marTop w:val="0"/>
          <w:marBottom w:val="225"/>
          <w:divBdr>
            <w:top w:val="none" w:sz="0" w:space="0" w:color="auto"/>
            <w:left w:val="none" w:sz="0" w:space="0" w:color="auto"/>
            <w:bottom w:val="none" w:sz="0" w:space="0" w:color="auto"/>
            <w:right w:val="none" w:sz="0" w:space="0" w:color="auto"/>
          </w:divBdr>
        </w:div>
        <w:div w:id="1424381432">
          <w:marLeft w:val="0"/>
          <w:marRight w:val="0"/>
          <w:marTop w:val="0"/>
          <w:marBottom w:val="225"/>
          <w:divBdr>
            <w:top w:val="none" w:sz="0" w:space="0" w:color="auto"/>
            <w:left w:val="none" w:sz="0" w:space="0" w:color="auto"/>
            <w:bottom w:val="none" w:sz="0" w:space="0" w:color="auto"/>
            <w:right w:val="none" w:sz="0" w:space="0" w:color="auto"/>
          </w:divBdr>
        </w:div>
        <w:div w:id="901450225">
          <w:marLeft w:val="0"/>
          <w:marRight w:val="0"/>
          <w:marTop w:val="0"/>
          <w:marBottom w:val="225"/>
          <w:divBdr>
            <w:top w:val="none" w:sz="0" w:space="0" w:color="auto"/>
            <w:left w:val="none" w:sz="0" w:space="0" w:color="auto"/>
            <w:bottom w:val="none" w:sz="0" w:space="0" w:color="auto"/>
            <w:right w:val="none" w:sz="0" w:space="0" w:color="auto"/>
          </w:divBdr>
        </w:div>
        <w:div w:id="1604530640">
          <w:marLeft w:val="0"/>
          <w:marRight w:val="0"/>
          <w:marTop w:val="0"/>
          <w:marBottom w:val="225"/>
          <w:divBdr>
            <w:top w:val="none" w:sz="0" w:space="0" w:color="auto"/>
            <w:left w:val="none" w:sz="0" w:space="0" w:color="auto"/>
            <w:bottom w:val="none" w:sz="0" w:space="0" w:color="auto"/>
            <w:right w:val="none" w:sz="0" w:space="0" w:color="auto"/>
          </w:divBdr>
        </w:div>
        <w:div w:id="241335428">
          <w:marLeft w:val="0"/>
          <w:marRight w:val="0"/>
          <w:marTop w:val="0"/>
          <w:marBottom w:val="225"/>
          <w:divBdr>
            <w:top w:val="none" w:sz="0" w:space="0" w:color="auto"/>
            <w:left w:val="none" w:sz="0" w:space="0" w:color="auto"/>
            <w:bottom w:val="none" w:sz="0" w:space="0" w:color="auto"/>
            <w:right w:val="none" w:sz="0" w:space="0" w:color="auto"/>
          </w:divBdr>
        </w:div>
        <w:div w:id="1921450119">
          <w:marLeft w:val="0"/>
          <w:marRight w:val="0"/>
          <w:marTop w:val="0"/>
          <w:marBottom w:val="225"/>
          <w:divBdr>
            <w:top w:val="none" w:sz="0" w:space="0" w:color="auto"/>
            <w:left w:val="none" w:sz="0" w:space="0" w:color="auto"/>
            <w:bottom w:val="none" w:sz="0" w:space="0" w:color="auto"/>
            <w:right w:val="none" w:sz="0" w:space="0" w:color="auto"/>
          </w:divBdr>
        </w:div>
        <w:div w:id="956064242">
          <w:marLeft w:val="0"/>
          <w:marRight w:val="0"/>
          <w:marTop w:val="0"/>
          <w:marBottom w:val="225"/>
          <w:divBdr>
            <w:top w:val="none" w:sz="0" w:space="0" w:color="auto"/>
            <w:left w:val="none" w:sz="0" w:space="0" w:color="auto"/>
            <w:bottom w:val="none" w:sz="0" w:space="0" w:color="auto"/>
            <w:right w:val="none" w:sz="0" w:space="0" w:color="auto"/>
          </w:divBdr>
        </w:div>
        <w:div w:id="327439676">
          <w:marLeft w:val="0"/>
          <w:marRight w:val="0"/>
          <w:marTop w:val="0"/>
          <w:marBottom w:val="225"/>
          <w:divBdr>
            <w:top w:val="none" w:sz="0" w:space="0" w:color="auto"/>
            <w:left w:val="none" w:sz="0" w:space="0" w:color="auto"/>
            <w:bottom w:val="none" w:sz="0" w:space="0" w:color="auto"/>
            <w:right w:val="none" w:sz="0" w:space="0" w:color="auto"/>
          </w:divBdr>
        </w:div>
        <w:div w:id="2083133828">
          <w:marLeft w:val="0"/>
          <w:marRight w:val="0"/>
          <w:marTop w:val="0"/>
          <w:marBottom w:val="225"/>
          <w:divBdr>
            <w:top w:val="none" w:sz="0" w:space="0" w:color="auto"/>
            <w:left w:val="none" w:sz="0" w:space="0" w:color="auto"/>
            <w:bottom w:val="none" w:sz="0" w:space="0" w:color="auto"/>
            <w:right w:val="none" w:sz="0" w:space="0" w:color="auto"/>
          </w:divBdr>
        </w:div>
        <w:div w:id="1825782474">
          <w:marLeft w:val="0"/>
          <w:marRight w:val="0"/>
          <w:marTop w:val="0"/>
          <w:marBottom w:val="225"/>
          <w:divBdr>
            <w:top w:val="none" w:sz="0" w:space="0" w:color="auto"/>
            <w:left w:val="none" w:sz="0" w:space="0" w:color="auto"/>
            <w:bottom w:val="none" w:sz="0" w:space="0" w:color="auto"/>
            <w:right w:val="none" w:sz="0" w:space="0" w:color="auto"/>
          </w:divBdr>
        </w:div>
        <w:div w:id="2114937880">
          <w:marLeft w:val="0"/>
          <w:marRight w:val="0"/>
          <w:marTop w:val="0"/>
          <w:marBottom w:val="225"/>
          <w:divBdr>
            <w:top w:val="none" w:sz="0" w:space="0" w:color="auto"/>
            <w:left w:val="none" w:sz="0" w:space="0" w:color="auto"/>
            <w:bottom w:val="none" w:sz="0" w:space="0" w:color="auto"/>
            <w:right w:val="none" w:sz="0" w:space="0" w:color="auto"/>
          </w:divBdr>
        </w:div>
        <w:div w:id="458374372">
          <w:marLeft w:val="0"/>
          <w:marRight w:val="0"/>
          <w:marTop w:val="0"/>
          <w:marBottom w:val="225"/>
          <w:divBdr>
            <w:top w:val="none" w:sz="0" w:space="0" w:color="auto"/>
            <w:left w:val="none" w:sz="0" w:space="0" w:color="auto"/>
            <w:bottom w:val="none" w:sz="0" w:space="0" w:color="auto"/>
            <w:right w:val="none" w:sz="0" w:space="0" w:color="auto"/>
          </w:divBdr>
        </w:div>
        <w:div w:id="41951791">
          <w:marLeft w:val="0"/>
          <w:marRight w:val="0"/>
          <w:marTop w:val="0"/>
          <w:marBottom w:val="225"/>
          <w:divBdr>
            <w:top w:val="none" w:sz="0" w:space="0" w:color="auto"/>
            <w:left w:val="none" w:sz="0" w:space="0" w:color="auto"/>
            <w:bottom w:val="none" w:sz="0" w:space="0" w:color="auto"/>
            <w:right w:val="none" w:sz="0" w:space="0" w:color="auto"/>
          </w:divBdr>
        </w:div>
        <w:div w:id="148981705">
          <w:marLeft w:val="0"/>
          <w:marRight w:val="0"/>
          <w:marTop w:val="0"/>
          <w:marBottom w:val="225"/>
          <w:divBdr>
            <w:top w:val="none" w:sz="0" w:space="0" w:color="auto"/>
            <w:left w:val="none" w:sz="0" w:space="0" w:color="auto"/>
            <w:bottom w:val="none" w:sz="0" w:space="0" w:color="auto"/>
            <w:right w:val="none" w:sz="0" w:space="0" w:color="auto"/>
          </w:divBdr>
        </w:div>
        <w:div w:id="2015302685">
          <w:marLeft w:val="0"/>
          <w:marRight w:val="0"/>
          <w:marTop w:val="0"/>
          <w:marBottom w:val="225"/>
          <w:divBdr>
            <w:top w:val="none" w:sz="0" w:space="0" w:color="auto"/>
            <w:left w:val="none" w:sz="0" w:space="0" w:color="auto"/>
            <w:bottom w:val="none" w:sz="0" w:space="0" w:color="auto"/>
            <w:right w:val="none" w:sz="0" w:space="0" w:color="auto"/>
          </w:divBdr>
        </w:div>
        <w:div w:id="914436203">
          <w:marLeft w:val="0"/>
          <w:marRight w:val="0"/>
          <w:marTop w:val="0"/>
          <w:marBottom w:val="225"/>
          <w:divBdr>
            <w:top w:val="none" w:sz="0" w:space="0" w:color="auto"/>
            <w:left w:val="none" w:sz="0" w:space="0" w:color="auto"/>
            <w:bottom w:val="none" w:sz="0" w:space="0" w:color="auto"/>
            <w:right w:val="none" w:sz="0" w:space="0" w:color="auto"/>
          </w:divBdr>
        </w:div>
        <w:div w:id="437985839">
          <w:marLeft w:val="0"/>
          <w:marRight w:val="0"/>
          <w:marTop w:val="0"/>
          <w:marBottom w:val="225"/>
          <w:divBdr>
            <w:top w:val="none" w:sz="0" w:space="0" w:color="auto"/>
            <w:left w:val="none" w:sz="0" w:space="0" w:color="auto"/>
            <w:bottom w:val="none" w:sz="0" w:space="0" w:color="auto"/>
            <w:right w:val="none" w:sz="0" w:space="0" w:color="auto"/>
          </w:divBdr>
        </w:div>
        <w:div w:id="1951817322">
          <w:marLeft w:val="0"/>
          <w:marRight w:val="0"/>
          <w:marTop w:val="0"/>
          <w:marBottom w:val="225"/>
          <w:divBdr>
            <w:top w:val="none" w:sz="0" w:space="0" w:color="auto"/>
            <w:left w:val="none" w:sz="0" w:space="0" w:color="auto"/>
            <w:bottom w:val="none" w:sz="0" w:space="0" w:color="auto"/>
            <w:right w:val="none" w:sz="0" w:space="0" w:color="auto"/>
          </w:divBdr>
        </w:div>
        <w:div w:id="893738788">
          <w:marLeft w:val="0"/>
          <w:marRight w:val="0"/>
          <w:marTop w:val="0"/>
          <w:marBottom w:val="225"/>
          <w:divBdr>
            <w:top w:val="none" w:sz="0" w:space="0" w:color="auto"/>
            <w:left w:val="none" w:sz="0" w:space="0" w:color="auto"/>
            <w:bottom w:val="none" w:sz="0" w:space="0" w:color="auto"/>
            <w:right w:val="none" w:sz="0" w:space="0" w:color="auto"/>
          </w:divBdr>
        </w:div>
        <w:div w:id="32848758">
          <w:marLeft w:val="0"/>
          <w:marRight w:val="0"/>
          <w:marTop w:val="0"/>
          <w:marBottom w:val="225"/>
          <w:divBdr>
            <w:top w:val="none" w:sz="0" w:space="0" w:color="auto"/>
            <w:left w:val="none" w:sz="0" w:space="0" w:color="auto"/>
            <w:bottom w:val="none" w:sz="0" w:space="0" w:color="auto"/>
            <w:right w:val="none" w:sz="0" w:space="0" w:color="auto"/>
          </w:divBdr>
        </w:div>
        <w:div w:id="699627018">
          <w:marLeft w:val="0"/>
          <w:marRight w:val="0"/>
          <w:marTop w:val="0"/>
          <w:marBottom w:val="225"/>
          <w:divBdr>
            <w:top w:val="none" w:sz="0" w:space="0" w:color="auto"/>
            <w:left w:val="none" w:sz="0" w:space="0" w:color="auto"/>
            <w:bottom w:val="none" w:sz="0" w:space="0" w:color="auto"/>
            <w:right w:val="none" w:sz="0" w:space="0" w:color="auto"/>
          </w:divBdr>
        </w:div>
        <w:div w:id="2093891626">
          <w:marLeft w:val="0"/>
          <w:marRight w:val="0"/>
          <w:marTop w:val="0"/>
          <w:marBottom w:val="225"/>
          <w:divBdr>
            <w:top w:val="none" w:sz="0" w:space="0" w:color="auto"/>
            <w:left w:val="none" w:sz="0" w:space="0" w:color="auto"/>
            <w:bottom w:val="none" w:sz="0" w:space="0" w:color="auto"/>
            <w:right w:val="none" w:sz="0" w:space="0" w:color="auto"/>
          </w:divBdr>
        </w:div>
        <w:div w:id="926352167">
          <w:marLeft w:val="0"/>
          <w:marRight w:val="0"/>
          <w:marTop w:val="0"/>
          <w:marBottom w:val="225"/>
          <w:divBdr>
            <w:top w:val="none" w:sz="0" w:space="0" w:color="auto"/>
            <w:left w:val="none" w:sz="0" w:space="0" w:color="auto"/>
            <w:bottom w:val="none" w:sz="0" w:space="0" w:color="auto"/>
            <w:right w:val="none" w:sz="0" w:space="0" w:color="auto"/>
          </w:divBdr>
        </w:div>
        <w:div w:id="1923179415">
          <w:marLeft w:val="0"/>
          <w:marRight w:val="0"/>
          <w:marTop w:val="0"/>
          <w:marBottom w:val="225"/>
          <w:divBdr>
            <w:top w:val="none" w:sz="0" w:space="0" w:color="auto"/>
            <w:left w:val="none" w:sz="0" w:space="0" w:color="auto"/>
            <w:bottom w:val="none" w:sz="0" w:space="0" w:color="auto"/>
            <w:right w:val="none" w:sz="0" w:space="0" w:color="auto"/>
          </w:divBdr>
        </w:div>
        <w:div w:id="761952429">
          <w:marLeft w:val="0"/>
          <w:marRight w:val="0"/>
          <w:marTop w:val="0"/>
          <w:marBottom w:val="225"/>
          <w:divBdr>
            <w:top w:val="none" w:sz="0" w:space="0" w:color="auto"/>
            <w:left w:val="none" w:sz="0" w:space="0" w:color="auto"/>
            <w:bottom w:val="none" w:sz="0" w:space="0" w:color="auto"/>
            <w:right w:val="none" w:sz="0" w:space="0" w:color="auto"/>
          </w:divBdr>
        </w:div>
        <w:div w:id="1067533219">
          <w:marLeft w:val="0"/>
          <w:marRight w:val="0"/>
          <w:marTop w:val="0"/>
          <w:marBottom w:val="225"/>
          <w:divBdr>
            <w:top w:val="none" w:sz="0" w:space="0" w:color="auto"/>
            <w:left w:val="none" w:sz="0" w:space="0" w:color="auto"/>
            <w:bottom w:val="none" w:sz="0" w:space="0" w:color="auto"/>
            <w:right w:val="none" w:sz="0" w:space="0" w:color="auto"/>
          </w:divBdr>
        </w:div>
        <w:div w:id="1877619281">
          <w:marLeft w:val="0"/>
          <w:marRight w:val="0"/>
          <w:marTop w:val="0"/>
          <w:marBottom w:val="225"/>
          <w:divBdr>
            <w:top w:val="none" w:sz="0" w:space="0" w:color="auto"/>
            <w:left w:val="none" w:sz="0" w:space="0" w:color="auto"/>
            <w:bottom w:val="none" w:sz="0" w:space="0" w:color="auto"/>
            <w:right w:val="none" w:sz="0" w:space="0" w:color="auto"/>
          </w:divBdr>
        </w:div>
        <w:div w:id="1746144589">
          <w:marLeft w:val="0"/>
          <w:marRight w:val="0"/>
          <w:marTop w:val="0"/>
          <w:marBottom w:val="225"/>
          <w:divBdr>
            <w:top w:val="none" w:sz="0" w:space="0" w:color="auto"/>
            <w:left w:val="none" w:sz="0" w:space="0" w:color="auto"/>
            <w:bottom w:val="none" w:sz="0" w:space="0" w:color="auto"/>
            <w:right w:val="none" w:sz="0" w:space="0" w:color="auto"/>
          </w:divBdr>
        </w:div>
        <w:div w:id="1082220150">
          <w:marLeft w:val="0"/>
          <w:marRight w:val="0"/>
          <w:marTop w:val="0"/>
          <w:marBottom w:val="225"/>
          <w:divBdr>
            <w:top w:val="none" w:sz="0" w:space="0" w:color="auto"/>
            <w:left w:val="none" w:sz="0" w:space="0" w:color="auto"/>
            <w:bottom w:val="none" w:sz="0" w:space="0" w:color="auto"/>
            <w:right w:val="none" w:sz="0" w:space="0" w:color="auto"/>
          </w:divBdr>
        </w:div>
        <w:div w:id="1951814980">
          <w:marLeft w:val="0"/>
          <w:marRight w:val="0"/>
          <w:marTop w:val="0"/>
          <w:marBottom w:val="225"/>
          <w:divBdr>
            <w:top w:val="none" w:sz="0" w:space="0" w:color="auto"/>
            <w:left w:val="none" w:sz="0" w:space="0" w:color="auto"/>
            <w:bottom w:val="none" w:sz="0" w:space="0" w:color="auto"/>
            <w:right w:val="none" w:sz="0" w:space="0" w:color="auto"/>
          </w:divBdr>
        </w:div>
        <w:div w:id="891624244">
          <w:marLeft w:val="0"/>
          <w:marRight w:val="0"/>
          <w:marTop w:val="0"/>
          <w:marBottom w:val="225"/>
          <w:divBdr>
            <w:top w:val="none" w:sz="0" w:space="0" w:color="auto"/>
            <w:left w:val="none" w:sz="0" w:space="0" w:color="auto"/>
            <w:bottom w:val="none" w:sz="0" w:space="0" w:color="auto"/>
            <w:right w:val="none" w:sz="0" w:space="0" w:color="auto"/>
          </w:divBdr>
        </w:div>
        <w:div w:id="468867470">
          <w:marLeft w:val="0"/>
          <w:marRight w:val="0"/>
          <w:marTop w:val="0"/>
          <w:marBottom w:val="225"/>
          <w:divBdr>
            <w:top w:val="none" w:sz="0" w:space="0" w:color="auto"/>
            <w:left w:val="none" w:sz="0" w:space="0" w:color="auto"/>
            <w:bottom w:val="none" w:sz="0" w:space="0" w:color="auto"/>
            <w:right w:val="none" w:sz="0" w:space="0" w:color="auto"/>
          </w:divBdr>
        </w:div>
        <w:div w:id="1284578917">
          <w:marLeft w:val="0"/>
          <w:marRight w:val="0"/>
          <w:marTop w:val="0"/>
          <w:marBottom w:val="225"/>
          <w:divBdr>
            <w:top w:val="none" w:sz="0" w:space="0" w:color="auto"/>
            <w:left w:val="none" w:sz="0" w:space="0" w:color="auto"/>
            <w:bottom w:val="none" w:sz="0" w:space="0" w:color="auto"/>
            <w:right w:val="none" w:sz="0" w:space="0" w:color="auto"/>
          </w:divBdr>
        </w:div>
        <w:div w:id="419645472">
          <w:marLeft w:val="0"/>
          <w:marRight w:val="0"/>
          <w:marTop w:val="0"/>
          <w:marBottom w:val="225"/>
          <w:divBdr>
            <w:top w:val="none" w:sz="0" w:space="0" w:color="auto"/>
            <w:left w:val="none" w:sz="0" w:space="0" w:color="auto"/>
            <w:bottom w:val="none" w:sz="0" w:space="0" w:color="auto"/>
            <w:right w:val="none" w:sz="0" w:space="0" w:color="auto"/>
          </w:divBdr>
        </w:div>
        <w:div w:id="251428403">
          <w:marLeft w:val="0"/>
          <w:marRight w:val="0"/>
          <w:marTop w:val="0"/>
          <w:marBottom w:val="225"/>
          <w:divBdr>
            <w:top w:val="none" w:sz="0" w:space="0" w:color="auto"/>
            <w:left w:val="none" w:sz="0" w:space="0" w:color="auto"/>
            <w:bottom w:val="none" w:sz="0" w:space="0" w:color="auto"/>
            <w:right w:val="none" w:sz="0" w:space="0" w:color="auto"/>
          </w:divBdr>
        </w:div>
        <w:div w:id="304165119">
          <w:marLeft w:val="0"/>
          <w:marRight w:val="0"/>
          <w:marTop w:val="0"/>
          <w:marBottom w:val="225"/>
          <w:divBdr>
            <w:top w:val="none" w:sz="0" w:space="0" w:color="auto"/>
            <w:left w:val="none" w:sz="0" w:space="0" w:color="auto"/>
            <w:bottom w:val="none" w:sz="0" w:space="0" w:color="auto"/>
            <w:right w:val="none" w:sz="0" w:space="0" w:color="auto"/>
          </w:divBdr>
        </w:div>
        <w:div w:id="1148593215">
          <w:marLeft w:val="0"/>
          <w:marRight w:val="0"/>
          <w:marTop w:val="0"/>
          <w:marBottom w:val="225"/>
          <w:divBdr>
            <w:top w:val="none" w:sz="0" w:space="0" w:color="auto"/>
            <w:left w:val="none" w:sz="0" w:space="0" w:color="auto"/>
            <w:bottom w:val="none" w:sz="0" w:space="0" w:color="auto"/>
            <w:right w:val="none" w:sz="0" w:space="0" w:color="auto"/>
          </w:divBdr>
        </w:div>
        <w:div w:id="411438422">
          <w:marLeft w:val="0"/>
          <w:marRight w:val="0"/>
          <w:marTop w:val="0"/>
          <w:marBottom w:val="225"/>
          <w:divBdr>
            <w:top w:val="none" w:sz="0" w:space="0" w:color="auto"/>
            <w:left w:val="none" w:sz="0" w:space="0" w:color="auto"/>
            <w:bottom w:val="none" w:sz="0" w:space="0" w:color="auto"/>
            <w:right w:val="none" w:sz="0" w:space="0" w:color="auto"/>
          </w:divBdr>
        </w:div>
        <w:div w:id="918054903">
          <w:marLeft w:val="0"/>
          <w:marRight w:val="0"/>
          <w:marTop w:val="0"/>
          <w:marBottom w:val="225"/>
          <w:divBdr>
            <w:top w:val="none" w:sz="0" w:space="0" w:color="auto"/>
            <w:left w:val="none" w:sz="0" w:space="0" w:color="auto"/>
            <w:bottom w:val="none" w:sz="0" w:space="0" w:color="auto"/>
            <w:right w:val="none" w:sz="0" w:space="0" w:color="auto"/>
          </w:divBdr>
        </w:div>
        <w:div w:id="129520607">
          <w:marLeft w:val="0"/>
          <w:marRight w:val="0"/>
          <w:marTop w:val="0"/>
          <w:marBottom w:val="225"/>
          <w:divBdr>
            <w:top w:val="none" w:sz="0" w:space="0" w:color="auto"/>
            <w:left w:val="none" w:sz="0" w:space="0" w:color="auto"/>
            <w:bottom w:val="none" w:sz="0" w:space="0" w:color="auto"/>
            <w:right w:val="none" w:sz="0" w:space="0" w:color="auto"/>
          </w:divBdr>
        </w:div>
        <w:div w:id="981038781">
          <w:marLeft w:val="0"/>
          <w:marRight w:val="0"/>
          <w:marTop w:val="0"/>
          <w:marBottom w:val="225"/>
          <w:divBdr>
            <w:top w:val="none" w:sz="0" w:space="0" w:color="auto"/>
            <w:left w:val="none" w:sz="0" w:space="0" w:color="auto"/>
            <w:bottom w:val="none" w:sz="0" w:space="0" w:color="auto"/>
            <w:right w:val="none" w:sz="0" w:space="0" w:color="auto"/>
          </w:divBdr>
        </w:div>
        <w:div w:id="1822578871">
          <w:marLeft w:val="0"/>
          <w:marRight w:val="0"/>
          <w:marTop w:val="0"/>
          <w:marBottom w:val="225"/>
          <w:divBdr>
            <w:top w:val="none" w:sz="0" w:space="0" w:color="auto"/>
            <w:left w:val="none" w:sz="0" w:space="0" w:color="auto"/>
            <w:bottom w:val="none" w:sz="0" w:space="0" w:color="auto"/>
            <w:right w:val="none" w:sz="0" w:space="0" w:color="auto"/>
          </w:divBdr>
        </w:div>
        <w:div w:id="252051691">
          <w:marLeft w:val="0"/>
          <w:marRight w:val="0"/>
          <w:marTop w:val="0"/>
          <w:marBottom w:val="225"/>
          <w:divBdr>
            <w:top w:val="none" w:sz="0" w:space="0" w:color="auto"/>
            <w:left w:val="none" w:sz="0" w:space="0" w:color="auto"/>
            <w:bottom w:val="none" w:sz="0" w:space="0" w:color="auto"/>
            <w:right w:val="none" w:sz="0" w:space="0" w:color="auto"/>
          </w:divBdr>
        </w:div>
        <w:div w:id="896669737">
          <w:marLeft w:val="0"/>
          <w:marRight w:val="0"/>
          <w:marTop w:val="0"/>
          <w:marBottom w:val="225"/>
          <w:divBdr>
            <w:top w:val="none" w:sz="0" w:space="0" w:color="auto"/>
            <w:left w:val="none" w:sz="0" w:space="0" w:color="auto"/>
            <w:bottom w:val="none" w:sz="0" w:space="0" w:color="auto"/>
            <w:right w:val="none" w:sz="0" w:space="0" w:color="auto"/>
          </w:divBdr>
        </w:div>
        <w:div w:id="1726029264">
          <w:marLeft w:val="0"/>
          <w:marRight w:val="0"/>
          <w:marTop w:val="0"/>
          <w:marBottom w:val="225"/>
          <w:divBdr>
            <w:top w:val="none" w:sz="0" w:space="0" w:color="auto"/>
            <w:left w:val="none" w:sz="0" w:space="0" w:color="auto"/>
            <w:bottom w:val="none" w:sz="0" w:space="0" w:color="auto"/>
            <w:right w:val="none" w:sz="0" w:space="0" w:color="auto"/>
          </w:divBdr>
        </w:div>
        <w:div w:id="1088499863">
          <w:marLeft w:val="0"/>
          <w:marRight w:val="0"/>
          <w:marTop w:val="0"/>
          <w:marBottom w:val="225"/>
          <w:divBdr>
            <w:top w:val="none" w:sz="0" w:space="0" w:color="auto"/>
            <w:left w:val="none" w:sz="0" w:space="0" w:color="auto"/>
            <w:bottom w:val="none" w:sz="0" w:space="0" w:color="auto"/>
            <w:right w:val="none" w:sz="0" w:space="0" w:color="auto"/>
          </w:divBdr>
        </w:div>
        <w:div w:id="962734929">
          <w:marLeft w:val="0"/>
          <w:marRight w:val="0"/>
          <w:marTop w:val="0"/>
          <w:marBottom w:val="225"/>
          <w:divBdr>
            <w:top w:val="none" w:sz="0" w:space="0" w:color="auto"/>
            <w:left w:val="none" w:sz="0" w:space="0" w:color="auto"/>
            <w:bottom w:val="none" w:sz="0" w:space="0" w:color="auto"/>
            <w:right w:val="none" w:sz="0" w:space="0" w:color="auto"/>
          </w:divBdr>
        </w:div>
        <w:div w:id="1143233905">
          <w:marLeft w:val="0"/>
          <w:marRight w:val="0"/>
          <w:marTop w:val="0"/>
          <w:marBottom w:val="225"/>
          <w:divBdr>
            <w:top w:val="none" w:sz="0" w:space="0" w:color="auto"/>
            <w:left w:val="none" w:sz="0" w:space="0" w:color="auto"/>
            <w:bottom w:val="none" w:sz="0" w:space="0" w:color="auto"/>
            <w:right w:val="none" w:sz="0" w:space="0" w:color="auto"/>
          </w:divBdr>
        </w:div>
        <w:div w:id="1834835834">
          <w:marLeft w:val="0"/>
          <w:marRight w:val="0"/>
          <w:marTop w:val="0"/>
          <w:marBottom w:val="225"/>
          <w:divBdr>
            <w:top w:val="none" w:sz="0" w:space="0" w:color="auto"/>
            <w:left w:val="none" w:sz="0" w:space="0" w:color="auto"/>
            <w:bottom w:val="none" w:sz="0" w:space="0" w:color="auto"/>
            <w:right w:val="none" w:sz="0" w:space="0" w:color="auto"/>
          </w:divBdr>
        </w:div>
        <w:div w:id="167761133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9B%BD%E5%8A%A1%E9%99%A2%E5%85%B3%E4%BA%8E%E5%BA%9F%E6%AD%A2%E5%92%8C%E4%BF%AE%E6%94%B9%E9%83%A8%E5%88%86%E8%A1%8C%E6%94%BF%E6%B3%95%E8%A7%84%E7%9A%84%E5%86%B3%E5%AE%9A/19652267?fromModule=lemma_inlink" TargetMode="External"/><Relationship Id="rId5" Type="http://schemas.openxmlformats.org/officeDocument/2006/relationships/hyperlink" Target="https://baike.baidu.com/item/%E5%9B%BD%E5%8A%A1%E9%99%A2%E5%85%B3%E4%BA%8E%E5%BA%9F%E6%AD%A2%E5%92%8C%E4%BF%AE%E6%94%B9%E9%83%A8%E5%88%86%E8%A1%8C%E6%94%BF%E6%B3%95%E8%A7%84%E7%9A%84%E5%86%B3%E5%AE%9A/19652267?fromModule=lemma_inlink" TargetMode="External"/><Relationship Id="rId4" Type="http://schemas.openxmlformats.org/officeDocument/2006/relationships/hyperlink" Target="https://baike.baidu.com/item/%E4%B8%AD%E5%8D%8E%E4%BA%BA%E6%B0%91%E5%85%B1%E5%92%8C%E5%9B%BD%E5%9B%BD%E5%8A%A1%E9%99%A2%E4%BB%A4%E7%AC%AC12%E5%8F%B7/17610630?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fo@gzu.edu.cn</dc:creator>
  <cp:keywords/>
  <dc:description/>
  <cp:lastModifiedBy>fo@gzu.edu.cn</cp:lastModifiedBy>
  <cp:revision>1</cp:revision>
  <dcterms:created xsi:type="dcterms:W3CDTF">2024-01-11T05:47:00Z</dcterms:created>
  <dcterms:modified xsi:type="dcterms:W3CDTF">2024-01-11T05:49:00Z</dcterms:modified>
</cp:coreProperties>
</file>