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3BAC51D" w14:textId="534A7734" w:rsidR="00892DCB" w:rsidRPr="00892DCB" w:rsidRDefault="00892DCB" w:rsidP="00892DCB">
      <w:pPr>
        <w:pStyle w:val="a9"/>
        <w:jc w:val="both"/>
        <w:rPr>
          <w:rFonts w:ascii="仿宋_GB2312" w:eastAsia="仿宋_GB2312" w:hAnsi="宋体" w:cs="宋体" w:hint="eastAsia"/>
        </w:rPr>
      </w:pPr>
      <w:r w:rsidRPr="00892DCB">
        <w:rPr>
          <w:rFonts w:ascii="仿宋_GB2312" w:eastAsia="仿宋_GB2312" w:hAnsi="宋体" w:cs="宋体" w:hint="eastAsia"/>
        </w:rPr>
        <w:t>附：</w:t>
      </w:r>
    </w:p>
    <w:p w14:paraId="026B836A" w14:textId="3B179BA4" w:rsidR="00E62E79" w:rsidRDefault="00000000">
      <w:pPr>
        <w:pStyle w:val="a9"/>
        <w:rPr>
          <w:rFonts w:ascii="宋体" w:eastAsia="宋体" w:hAnsi="宋体" w:cs="宋体" w:hint="eastAsia"/>
          <w:sz w:val="44"/>
          <w:szCs w:val="44"/>
        </w:rPr>
      </w:pPr>
      <w:r>
        <w:rPr>
          <w:rFonts w:ascii="宋体" w:eastAsia="宋体" w:hAnsi="宋体" w:cs="宋体" w:hint="eastAsia"/>
          <w:sz w:val="44"/>
          <w:szCs w:val="44"/>
        </w:rPr>
        <w:t>编报2025年基本预算相关要求</w:t>
      </w:r>
    </w:p>
    <w:p w14:paraId="27A3343C" w14:textId="77777777" w:rsidR="00892DCB" w:rsidRDefault="00892DCB">
      <w:pPr>
        <w:spacing w:line="360" w:lineRule="auto"/>
        <w:ind w:firstLineChars="200" w:firstLine="640"/>
        <w:rPr>
          <w:rFonts w:ascii="仿宋_GB2312" w:eastAsia="仿宋_GB2312" w:hAnsi="Times New Roman" w:cs="Times New Roman"/>
          <w:sz w:val="32"/>
          <w:szCs w:val="32"/>
        </w:rPr>
      </w:pPr>
    </w:p>
    <w:p w14:paraId="719D3AFE" w14:textId="32288918"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一、基本预算编制范围</w:t>
      </w:r>
      <w:r w:rsidR="00892DCB">
        <w:rPr>
          <w:rFonts w:ascii="仿宋_GB2312" w:eastAsia="仿宋_GB2312" w:hAnsi="Times New Roman" w:cs="Times New Roman" w:hint="eastAsia"/>
          <w:sz w:val="32"/>
          <w:szCs w:val="32"/>
        </w:rPr>
        <w:t>，</w:t>
      </w:r>
      <w:r w:rsidRPr="00892DCB">
        <w:rPr>
          <w:rFonts w:ascii="仿宋_GB2312" w:eastAsia="仿宋_GB2312" w:hAnsi="Times New Roman" w:cs="Times New Roman" w:hint="eastAsia"/>
          <w:sz w:val="32"/>
          <w:szCs w:val="32"/>
        </w:rPr>
        <w:t>包括四类项目</w:t>
      </w:r>
    </w:p>
    <w:p w14:paraId="37ED190A" w14:textId="4E251367" w:rsidR="00E62E79" w:rsidRPr="00892DCB" w:rsidRDefault="00892DCB">
      <w:pPr>
        <w:spacing w:line="360" w:lineRule="auto"/>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（一）</w:t>
      </w:r>
      <w:r w:rsidR="00000000" w:rsidRPr="00892DCB">
        <w:rPr>
          <w:rFonts w:ascii="仿宋_GB2312" w:eastAsia="仿宋_GB2312" w:hAnsi="Times New Roman" w:cs="Times New Roman" w:hint="eastAsia"/>
          <w:sz w:val="32"/>
          <w:szCs w:val="32"/>
        </w:rPr>
        <w:t>学院包干经费、校直单位、职能部门业务费预算</w:t>
      </w:r>
    </w:p>
    <w:p w14:paraId="1DE65B4B"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通过</w:t>
      </w:r>
      <w:proofErr w:type="gramStart"/>
      <w:r w:rsidRPr="00892DCB">
        <w:rPr>
          <w:rFonts w:ascii="仿宋_GB2312" w:eastAsia="仿宋_GB2312" w:hAnsi="Times New Roman" w:cs="Times New Roman" w:hint="eastAsia"/>
          <w:sz w:val="32"/>
          <w:szCs w:val="32"/>
        </w:rPr>
        <w:t>预设置</w:t>
      </w:r>
      <w:proofErr w:type="gramEnd"/>
      <w:r w:rsidRPr="00892DCB">
        <w:rPr>
          <w:rFonts w:ascii="仿宋_GB2312" w:eastAsia="仿宋_GB2312" w:hAnsi="Times New Roman" w:cs="Times New Roman" w:hint="eastAsia"/>
          <w:sz w:val="32"/>
          <w:szCs w:val="32"/>
        </w:rPr>
        <w:t>部门信息，自动生成预算控制数，单位在预算控制数内完成部门预算编制（生成控制数的基础信息以2024年财务收支预算公布的基础信息为依据，变动情况在预算编制“二上”再进行调整）。</w:t>
      </w:r>
    </w:p>
    <w:p w14:paraId="29490ABD" w14:textId="68CB7A7E" w:rsidR="00E62E79" w:rsidRPr="00892DCB" w:rsidRDefault="00892DCB">
      <w:pPr>
        <w:spacing w:line="360" w:lineRule="auto"/>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（二）</w:t>
      </w:r>
      <w:r w:rsidR="00000000" w:rsidRPr="00892DCB">
        <w:rPr>
          <w:rFonts w:ascii="仿宋_GB2312" w:eastAsia="仿宋_GB2312" w:hAnsi="Times New Roman" w:cs="Times New Roman" w:hint="eastAsia"/>
          <w:sz w:val="32"/>
          <w:szCs w:val="32"/>
        </w:rPr>
        <w:t>部门代管专项</w:t>
      </w:r>
    </w:p>
    <w:p w14:paraId="722DBADD"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不设项目控制数，各单位根据实际情况完成部门预算“一上”编制。</w:t>
      </w:r>
    </w:p>
    <w:p w14:paraId="5F66B80E" w14:textId="5EBFBFFF" w:rsidR="00E62E79" w:rsidRPr="00892DCB" w:rsidRDefault="00892DCB">
      <w:pPr>
        <w:spacing w:line="360" w:lineRule="auto"/>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（三）</w:t>
      </w:r>
      <w:r w:rsidR="00000000" w:rsidRPr="00892DCB">
        <w:rPr>
          <w:rFonts w:ascii="仿宋_GB2312" w:eastAsia="仿宋_GB2312" w:hAnsi="Times New Roman" w:cs="Times New Roman" w:hint="eastAsia"/>
          <w:sz w:val="32"/>
          <w:szCs w:val="32"/>
        </w:rPr>
        <w:t>专户自筹经费（奖励发展）</w:t>
      </w:r>
    </w:p>
    <w:p w14:paraId="02AFD006"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主要包括专业硕士、软件学院、民族预科、对外办学学费及报名考试费等上缴财政专户的非税收入，根据学校经费分配相关规定，按比例纳入自筹经费管理。该项目根据以前年度的收支情况预设控制数，单位在预算控制数内完成部门预算编制。</w:t>
      </w:r>
    </w:p>
    <w:p w14:paraId="2DCC2EFA" w14:textId="02368CCD" w:rsidR="00E62E79" w:rsidRPr="00892DCB" w:rsidRDefault="00000000">
      <w:pPr>
        <w:spacing w:line="360" w:lineRule="auto"/>
        <w:ind w:firstLineChars="200" w:firstLine="420"/>
        <w:rPr>
          <w:rFonts w:ascii="仿宋_GB2312" w:eastAsia="仿宋_GB2312" w:hAnsi="Times New Roman" w:cs="Times New Roman"/>
          <w:sz w:val="32"/>
          <w:szCs w:val="32"/>
        </w:rPr>
      </w:pPr>
      <w:r w:rsidRPr="00892DCB">
        <w:rPr>
          <w:rFonts w:hint="eastAsia"/>
        </w:rPr>
        <w:t xml:space="preserve">   </w:t>
      </w:r>
      <w:r w:rsidR="00892DCB">
        <w:rPr>
          <w:rFonts w:ascii="仿宋_GB2312" w:eastAsia="仿宋_GB2312" w:hAnsi="Times New Roman" w:cs="Times New Roman" w:hint="eastAsia"/>
          <w:sz w:val="32"/>
          <w:szCs w:val="32"/>
        </w:rPr>
        <w:t>（四）</w:t>
      </w:r>
      <w:r w:rsidRPr="00892DCB">
        <w:rPr>
          <w:rFonts w:ascii="仿宋_GB2312" w:eastAsia="仿宋_GB2312" w:hAnsi="Times New Roman" w:cs="Times New Roman" w:hint="eastAsia"/>
          <w:sz w:val="32"/>
          <w:szCs w:val="32"/>
        </w:rPr>
        <w:t>二级单位自筹</w:t>
      </w:r>
    </w:p>
    <w:p w14:paraId="0D32FA87"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部门开展教学及教学辅助活动获得的非本级财政拨款、有偿使用学校资产资源形成的收入产生的成本开支，这部分</w:t>
      </w:r>
      <w:r w:rsidRPr="00892DCB">
        <w:rPr>
          <w:rFonts w:ascii="仿宋_GB2312" w:eastAsia="仿宋_GB2312" w:hAnsi="Times New Roman" w:cs="Times New Roman" w:hint="eastAsia"/>
          <w:sz w:val="32"/>
          <w:szCs w:val="32"/>
        </w:rPr>
        <w:lastRenderedPageBreak/>
        <w:t>收入进入学校银行账户形成单位资金。该项目不设控制数，单位可根据业务的开展情况，结合学校经费分配相关规定合理预测编制预算，预计年度无该工作计划可以不填报。</w:t>
      </w:r>
    </w:p>
    <w:p w14:paraId="77C1BF04" w14:textId="77777777" w:rsidR="00E62E79" w:rsidRPr="00892DCB" w:rsidRDefault="00E62E79">
      <w:pPr>
        <w:pStyle w:val="a0"/>
      </w:pPr>
    </w:p>
    <w:p w14:paraId="5ECA0293"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二、预算编制步骤</w:t>
      </w:r>
    </w:p>
    <w:p w14:paraId="06D1A0A4"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（一）填报项目基本信息</w:t>
      </w:r>
    </w:p>
    <w:p w14:paraId="330C61E3"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项目基本信息可不填，但部门代管专项突破上年预算的项目必填。</w:t>
      </w:r>
    </w:p>
    <w:p w14:paraId="7D13FEAE"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（二）编制项目预算明细</w:t>
      </w:r>
    </w:p>
    <w:p w14:paraId="031E426A" w14:textId="77777777" w:rsidR="00E62E79" w:rsidRPr="00892DCB" w:rsidRDefault="00000000">
      <w:pPr>
        <w:spacing w:line="360" w:lineRule="auto"/>
        <w:ind w:firstLineChars="300" w:firstLine="96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按项目填写经济分类科目支出明细（具体要求见经济分类科目编制要求）。</w:t>
      </w:r>
    </w:p>
    <w:p w14:paraId="3AE690E2"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（三）填报新增资产信息（选填）</w:t>
      </w:r>
    </w:p>
    <w:p w14:paraId="3A5106AB"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项目经费不用于新增资产，可不填。</w:t>
      </w:r>
    </w:p>
    <w:p w14:paraId="5179B36C"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（四）编制政府采购预算（选填、具体要求见政府采购预算编制要求）</w:t>
      </w:r>
    </w:p>
    <w:p w14:paraId="44E52641"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（五）上</w:t>
      </w:r>
      <w:proofErr w:type="gramStart"/>
      <w:r w:rsidRPr="00892DCB">
        <w:rPr>
          <w:rFonts w:ascii="仿宋_GB2312" w:eastAsia="仿宋_GB2312" w:hAnsi="Times New Roman" w:cs="Times New Roman" w:hint="eastAsia"/>
          <w:sz w:val="32"/>
          <w:szCs w:val="32"/>
        </w:rPr>
        <w:t>传项目</w:t>
      </w:r>
      <w:proofErr w:type="gramEnd"/>
      <w:r w:rsidRPr="00892DCB">
        <w:rPr>
          <w:rFonts w:ascii="仿宋_GB2312" w:eastAsia="仿宋_GB2312" w:hAnsi="Times New Roman" w:cs="Times New Roman" w:hint="eastAsia"/>
          <w:sz w:val="32"/>
          <w:szCs w:val="32"/>
        </w:rPr>
        <w:t>附件，部门代管专项突破上年预算的项目必须上传，其他项目可忽略。</w:t>
      </w:r>
    </w:p>
    <w:p w14:paraId="25F9544C"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 xml:space="preserve"> 三、预算编制相关要求</w:t>
      </w:r>
    </w:p>
    <w:p w14:paraId="6923A26D"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w:t>
      </w:r>
      <w:proofErr w:type="gramStart"/>
      <w:r w:rsidRPr="00892DCB">
        <w:rPr>
          <w:rFonts w:ascii="仿宋_GB2312" w:eastAsia="仿宋_GB2312" w:hAnsi="Times New Roman" w:cs="Times New Roman" w:hint="eastAsia"/>
          <w:sz w:val="32"/>
          <w:szCs w:val="32"/>
        </w:rPr>
        <w:t>一</w:t>
      </w:r>
      <w:proofErr w:type="gramEnd"/>
      <w:r w:rsidRPr="00892DCB">
        <w:rPr>
          <w:rFonts w:ascii="仿宋_GB2312" w:eastAsia="仿宋_GB2312" w:hAnsi="Times New Roman" w:cs="Times New Roman" w:hint="eastAsia"/>
          <w:sz w:val="32"/>
          <w:szCs w:val="32"/>
        </w:rPr>
        <w:t>)经济分类科目编制要求</w:t>
      </w:r>
    </w:p>
    <w:p w14:paraId="171B1FFE"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一是按照经济分类科目的解释说明，准确使用经济分类科目，二是合理测算“其他”科目的规模，按照财政规定，“30199其他工资福利支出”“30299其他商品和服务支出” “30399其他对个人和家庭的补助支出”“31099其他资本性</w:t>
      </w:r>
      <w:r w:rsidRPr="00892DCB">
        <w:rPr>
          <w:rFonts w:ascii="仿宋_GB2312" w:eastAsia="仿宋_GB2312" w:hAnsi="Times New Roman" w:cs="Times New Roman" w:hint="eastAsia"/>
          <w:sz w:val="32"/>
          <w:szCs w:val="32"/>
        </w:rPr>
        <w:lastRenderedPageBreak/>
        <w:t>支出”等科目占对应的“301工资福利支出”“302商品和服务支出” “303对个人和家庭的补助支出”“310资本性支出”类级科目比重一般不得超过30%。各部门务必准确把握支出开支范围，不得无预算执行，预算编制不实，会造成年度执行中申请科目调整调剂等情况影响项目执行进度。</w:t>
      </w:r>
    </w:p>
    <w:p w14:paraId="06A71870"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（二）部门代管专项预算编制要求</w:t>
      </w:r>
    </w:p>
    <w:p w14:paraId="536126E6"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原则上</w:t>
      </w:r>
      <w:proofErr w:type="gramStart"/>
      <w:r w:rsidRPr="00892DCB">
        <w:rPr>
          <w:rFonts w:ascii="仿宋_GB2312" w:eastAsia="仿宋_GB2312" w:hAnsi="Times New Roman" w:cs="Times New Roman" w:hint="eastAsia"/>
          <w:sz w:val="32"/>
          <w:szCs w:val="32"/>
        </w:rPr>
        <w:t>不</w:t>
      </w:r>
      <w:proofErr w:type="gramEnd"/>
      <w:r w:rsidRPr="00892DCB">
        <w:rPr>
          <w:rFonts w:ascii="仿宋_GB2312" w:eastAsia="仿宋_GB2312" w:hAnsi="Times New Roman" w:cs="Times New Roman" w:hint="eastAsia"/>
          <w:sz w:val="32"/>
          <w:szCs w:val="32"/>
        </w:rPr>
        <w:t>新增部门代管专项项目，除必须保障的教学专项支出外，为了落实财政“过紧日子”要求，经费不得增加，如因年度专项工作增加确需增加经费的，必须在项目基本信息作详细的测算说明，且必须上</w:t>
      </w:r>
      <w:proofErr w:type="gramStart"/>
      <w:r w:rsidRPr="00892DCB">
        <w:rPr>
          <w:rFonts w:ascii="仿宋_GB2312" w:eastAsia="仿宋_GB2312" w:hAnsi="Times New Roman" w:cs="Times New Roman" w:hint="eastAsia"/>
          <w:sz w:val="32"/>
          <w:szCs w:val="32"/>
        </w:rPr>
        <w:t>传增加</w:t>
      </w:r>
      <w:proofErr w:type="gramEnd"/>
      <w:r w:rsidRPr="00892DCB">
        <w:rPr>
          <w:rFonts w:ascii="仿宋_GB2312" w:eastAsia="仿宋_GB2312" w:hAnsi="Times New Roman" w:cs="Times New Roman" w:hint="eastAsia"/>
          <w:sz w:val="32"/>
          <w:szCs w:val="32"/>
        </w:rPr>
        <w:t>经费的相关正式依据附件。另外，归口部门代管需要二次划拨的项目经费，需要结合专项工作的管理办法作详细的经济分类测算。</w:t>
      </w:r>
    </w:p>
    <w:p w14:paraId="511E37D2"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（三）“三公</w:t>
      </w:r>
      <w:r w:rsidRPr="00892DCB">
        <w:rPr>
          <w:rFonts w:ascii="仿宋_GB2312" w:eastAsia="仿宋_GB2312" w:hAnsi="Times New Roman" w:cs="Times New Roman"/>
          <w:sz w:val="32"/>
          <w:szCs w:val="32"/>
        </w:rPr>
        <w:t>”</w:t>
      </w:r>
      <w:r w:rsidRPr="00892DCB">
        <w:rPr>
          <w:rFonts w:ascii="仿宋_GB2312" w:eastAsia="仿宋_GB2312" w:hAnsi="Times New Roman" w:cs="Times New Roman" w:hint="eastAsia"/>
          <w:sz w:val="32"/>
          <w:szCs w:val="32"/>
        </w:rPr>
        <w:t>经费、会议费、培训费预算编制要求</w:t>
      </w:r>
    </w:p>
    <w:p w14:paraId="0F504D35"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各部门要从严从紧从实编制2025年“三公</w:t>
      </w:r>
      <w:r w:rsidRPr="00892DCB">
        <w:rPr>
          <w:rFonts w:ascii="仿宋_GB2312" w:eastAsia="仿宋_GB2312" w:hAnsi="Times New Roman" w:cs="Times New Roman"/>
          <w:sz w:val="32"/>
          <w:szCs w:val="32"/>
        </w:rPr>
        <w:t>”</w:t>
      </w:r>
      <w:r w:rsidRPr="00892DCB">
        <w:rPr>
          <w:rFonts w:ascii="仿宋_GB2312" w:eastAsia="仿宋_GB2312" w:hAnsi="Times New Roman" w:cs="Times New Roman" w:hint="eastAsia"/>
          <w:sz w:val="32"/>
          <w:szCs w:val="32"/>
        </w:rPr>
        <w:t>经费预算，“三公两费”不得超预算支出和无预算执行；编制不实，会造成年度执行中科目调整调剂等情况影响项目执行进度。</w:t>
      </w:r>
    </w:p>
    <w:p w14:paraId="16AE9C89"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公务出国：各单位必须预测2025年因公出国（境）访问计划经费（科研经费列支的国际合作与交流费用不纳入“三公”经费统计范围），明确资金渠道（校直各部门业务费、代管专项经费、学院包干经费原则上不得安排因公出国（境）访问，所需经费从自筹经费解决），将公务出国（境）访问发生的住宿费、旅费、伙食补助费、杂费、培训费等支出填</w:t>
      </w:r>
      <w:r w:rsidRPr="00892DCB">
        <w:rPr>
          <w:rFonts w:ascii="仿宋_GB2312" w:eastAsia="仿宋_GB2312" w:hAnsi="Times New Roman" w:cs="Times New Roman" w:hint="eastAsia"/>
          <w:sz w:val="32"/>
          <w:szCs w:val="32"/>
        </w:rPr>
        <w:lastRenderedPageBreak/>
        <w:t>入“30212因公出国（境）费用”。各培养单位资助学生出国（境）交流学习，如采取报销制的填入“30212因公出国（境）费用”，如采取包干制的填入“30308助学金”两种情况都必须在项目基础信息中单独作测算说明。</w:t>
      </w:r>
    </w:p>
    <w:p w14:paraId="43B7E2AD" w14:textId="77777777" w:rsidR="00E62E79" w:rsidRPr="00892DCB" w:rsidRDefault="00000000">
      <w:pPr>
        <w:widowControl/>
        <w:ind w:firstLineChars="200" w:firstLine="640"/>
        <w:jc w:val="left"/>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公务用车运行维护：保留公务用车的部门，必须将公务用车发生的燃油费、维修费、过路过桥费、保险费等支出填入“30231公务用车运行维护费”。公务用车发生的燃油费、维修费、保险费还必须编制政府采购预算。</w:t>
      </w:r>
    </w:p>
    <w:p w14:paraId="007FD574"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公务接待：按照公务接待相关规定，加强公务接待的必要性、合理性审核，从严控制，公务接待填入“30217公务接待费”。</w:t>
      </w:r>
    </w:p>
    <w:p w14:paraId="432C6502"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会议费：部门用预算资金举办会议，按照相关要求，严控会议规模和会期，精简会议，会议开支标准范围要严格按照《中共贵州省委办公厅 贵州省人民政府办公厅关于&lt;贵州省省级党政机关会议费管理办法&gt;的通知》（黔</w:t>
      </w:r>
      <w:proofErr w:type="gramStart"/>
      <w:r w:rsidRPr="00892DCB">
        <w:rPr>
          <w:rFonts w:ascii="仿宋_GB2312" w:eastAsia="仿宋_GB2312" w:hAnsi="Times New Roman" w:cs="Times New Roman" w:hint="eastAsia"/>
          <w:sz w:val="32"/>
          <w:szCs w:val="32"/>
        </w:rPr>
        <w:t>党办发</w:t>
      </w:r>
      <w:proofErr w:type="gramEnd"/>
      <w:r w:rsidRPr="00892DCB">
        <w:rPr>
          <w:rFonts w:ascii="仿宋_GB2312" w:eastAsia="仿宋_GB2312" w:hAnsi="Times New Roman" w:cs="Times New Roman" w:hint="eastAsia"/>
          <w:sz w:val="32"/>
          <w:szCs w:val="32"/>
        </w:rPr>
        <w:t>[2014]15号）、《中共贵州省委办公厅 贵州省人民政府办公厅关于调整贵州省省级党政机关会议费标准的通知》（</w:t>
      </w:r>
      <w:proofErr w:type="gramStart"/>
      <w:r w:rsidRPr="00892DCB">
        <w:rPr>
          <w:rFonts w:ascii="仿宋_GB2312" w:eastAsia="仿宋_GB2312" w:hAnsi="Times New Roman" w:cs="Times New Roman" w:hint="eastAsia"/>
          <w:sz w:val="32"/>
          <w:szCs w:val="32"/>
        </w:rPr>
        <w:t>黔委厅字</w:t>
      </w:r>
      <w:proofErr w:type="gramEnd"/>
      <w:r w:rsidRPr="00892DCB">
        <w:rPr>
          <w:rFonts w:ascii="仿宋_GB2312" w:eastAsia="仿宋_GB2312" w:hAnsi="Times New Roman" w:cs="Times New Roman" w:hint="eastAsia"/>
          <w:sz w:val="32"/>
          <w:szCs w:val="32"/>
        </w:rPr>
        <w:t>[2017]68号）等相关规定核定，会议费支出填入“30215会议费”。</w:t>
      </w:r>
    </w:p>
    <w:p w14:paraId="192BDB77"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培训费：各部门应按照《贵州省财政厅 贵州省委组织部 贵州省公务员局关于印发&lt;贵州省省级党政机关培训管理办法&gt;的通知》（</w:t>
      </w:r>
      <w:proofErr w:type="gramStart"/>
      <w:r w:rsidRPr="00892DCB">
        <w:rPr>
          <w:rFonts w:ascii="仿宋_GB2312" w:eastAsia="仿宋_GB2312" w:hAnsi="Times New Roman" w:cs="Times New Roman" w:hint="eastAsia"/>
          <w:sz w:val="32"/>
          <w:szCs w:val="32"/>
        </w:rPr>
        <w:t>黔财行</w:t>
      </w:r>
      <w:proofErr w:type="gramEnd"/>
      <w:r w:rsidRPr="00892DCB">
        <w:rPr>
          <w:rFonts w:ascii="仿宋_GB2312" w:eastAsia="仿宋_GB2312" w:hAnsi="Times New Roman" w:cs="Times New Roman" w:hint="eastAsia"/>
          <w:sz w:val="32"/>
          <w:szCs w:val="32"/>
        </w:rPr>
        <w:t>[2017]119号）相关规定，科学编制培</w:t>
      </w:r>
      <w:r w:rsidRPr="00892DCB">
        <w:rPr>
          <w:rFonts w:ascii="仿宋_GB2312" w:eastAsia="仿宋_GB2312" w:hAnsi="Times New Roman" w:cs="Times New Roman" w:hint="eastAsia"/>
          <w:sz w:val="32"/>
          <w:szCs w:val="32"/>
        </w:rPr>
        <w:lastRenderedPageBreak/>
        <w:t>训计划，按规定的范围和标准开支培训费，培训费支出填入“30216培训费”。</w:t>
      </w:r>
    </w:p>
    <w:p w14:paraId="428F2C16"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（四）政府采购预算编制要求</w:t>
      </w:r>
    </w:p>
    <w:p w14:paraId="099B2941" w14:textId="7A570258"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按照《关于加强贵州省省级政府采购预算资金管理的意见》，无论是通过财政拨款资金还是单位资金安排的支出，都应按要求单独编制政府采购预算，年度中严格按照“先预算、后计划、再采购”的工作程序开展采购相关工作。未编制政府采购预算的，不得备案采购计划，不得开展采购活动，不得支付采购资金，严肃政府采购预算的刚性约束。编制过程中注意以下</w:t>
      </w:r>
      <w:r w:rsidR="00E77F85">
        <w:rPr>
          <w:rFonts w:ascii="仿宋_GB2312" w:eastAsia="仿宋_GB2312" w:hAnsi="Times New Roman" w:cs="Times New Roman" w:hint="eastAsia"/>
          <w:sz w:val="32"/>
          <w:szCs w:val="32"/>
        </w:rPr>
        <w:t>三</w:t>
      </w:r>
      <w:r w:rsidRPr="00892DCB">
        <w:rPr>
          <w:rFonts w:ascii="仿宋_GB2312" w:eastAsia="仿宋_GB2312" w:hAnsi="Times New Roman" w:cs="Times New Roman" w:hint="eastAsia"/>
          <w:sz w:val="32"/>
          <w:szCs w:val="32"/>
        </w:rPr>
        <w:t>点：</w:t>
      </w:r>
    </w:p>
    <w:p w14:paraId="208A4D40"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1.由于基本预算</w:t>
      </w:r>
      <w:r w:rsidRPr="00892DCB">
        <w:rPr>
          <w:rFonts w:ascii="仿宋_GB2312" w:eastAsia="仿宋_GB2312" w:hAnsi="Calibri" w:cs="Times New Roman" w:hint="eastAsia"/>
          <w:sz w:val="32"/>
          <w:szCs w:val="32"/>
        </w:rPr>
        <w:t>经费</w:t>
      </w:r>
      <w:r w:rsidRPr="00892DCB">
        <w:rPr>
          <w:rFonts w:ascii="仿宋_GB2312" w:eastAsia="仿宋_GB2312" w:hAnsi="Times New Roman" w:cs="Times New Roman" w:hint="eastAsia"/>
          <w:sz w:val="32"/>
          <w:szCs w:val="32"/>
        </w:rPr>
        <w:t>（自筹经费除外）原则上用于保障运转、不得</w:t>
      </w:r>
      <w:r w:rsidRPr="00892DCB">
        <w:rPr>
          <w:rFonts w:ascii="仿宋_GB2312" w:eastAsia="仿宋_GB2312" w:hAnsi="Calibri" w:cs="Times New Roman" w:hint="eastAsia"/>
          <w:sz w:val="32"/>
          <w:szCs w:val="32"/>
        </w:rPr>
        <w:t>用于硬件建设</w:t>
      </w:r>
      <w:r w:rsidRPr="00892DCB">
        <w:rPr>
          <w:rFonts w:ascii="仿宋_GB2312" w:eastAsia="仿宋_GB2312" w:hAnsi="Times New Roman" w:cs="Times New Roman" w:hint="eastAsia"/>
          <w:sz w:val="32"/>
          <w:szCs w:val="32"/>
        </w:rPr>
        <w:t>，因此采购预算</w:t>
      </w:r>
      <w:proofErr w:type="gramStart"/>
      <w:r w:rsidRPr="00892DCB">
        <w:rPr>
          <w:rFonts w:ascii="仿宋_GB2312" w:eastAsia="仿宋_GB2312" w:hAnsi="Times New Roman" w:cs="Times New Roman" w:hint="eastAsia"/>
          <w:sz w:val="32"/>
          <w:szCs w:val="32"/>
        </w:rPr>
        <w:t>表</w:t>
      </w:r>
      <w:r w:rsidRPr="00892DCB">
        <w:rPr>
          <w:rFonts w:ascii="仿宋_GB2312" w:eastAsia="仿宋_GB2312" w:hAnsi="Calibri" w:cs="Times New Roman" w:hint="eastAsia"/>
          <w:sz w:val="32"/>
          <w:szCs w:val="32"/>
        </w:rPr>
        <w:t>不得</w:t>
      </w:r>
      <w:proofErr w:type="gramEnd"/>
      <w:r w:rsidRPr="00892DCB">
        <w:rPr>
          <w:rFonts w:ascii="仿宋_GB2312" w:eastAsia="仿宋_GB2312" w:hAnsi="Calibri" w:cs="Times New Roman" w:hint="eastAsia"/>
          <w:sz w:val="32"/>
          <w:szCs w:val="32"/>
        </w:rPr>
        <w:t>编制《政府采购品目分类目录》中品目名称为设备、家具类等属于新增资产的</w:t>
      </w:r>
      <w:r w:rsidRPr="00892DCB">
        <w:rPr>
          <w:rFonts w:ascii="仿宋_GB2312" w:eastAsia="仿宋_GB2312" w:hAnsi="Times New Roman" w:cs="Times New Roman" w:hint="eastAsia"/>
          <w:sz w:val="32"/>
          <w:szCs w:val="32"/>
        </w:rPr>
        <w:t>采购预算，涉及</w:t>
      </w:r>
      <w:proofErr w:type="gramStart"/>
      <w:r w:rsidRPr="00892DCB">
        <w:rPr>
          <w:rFonts w:ascii="仿宋_GB2312" w:eastAsia="仿宋_GB2312" w:hAnsi="Times New Roman" w:cs="Times New Roman" w:hint="eastAsia"/>
          <w:sz w:val="32"/>
          <w:szCs w:val="32"/>
        </w:rPr>
        <w:t>非资产</w:t>
      </w:r>
      <w:proofErr w:type="gramEnd"/>
      <w:r w:rsidRPr="00892DCB">
        <w:rPr>
          <w:rFonts w:ascii="仿宋_GB2312" w:eastAsia="仿宋_GB2312" w:hAnsi="Times New Roman" w:cs="Times New Roman" w:hint="eastAsia"/>
          <w:sz w:val="32"/>
          <w:szCs w:val="32"/>
        </w:rPr>
        <w:t>的其他品目，必须按采购类别编制采购预算，</w:t>
      </w:r>
      <w:proofErr w:type="gramStart"/>
      <w:r w:rsidRPr="00892DCB">
        <w:rPr>
          <w:rFonts w:ascii="仿宋_GB2312" w:eastAsia="仿宋_GB2312" w:hAnsi="Times New Roman" w:cs="Times New Roman" w:hint="eastAsia"/>
          <w:sz w:val="32"/>
          <w:szCs w:val="32"/>
        </w:rPr>
        <w:t>应编尽编</w:t>
      </w:r>
      <w:proofErr w:type="gramEnd"/>
      <w:r w:rsidRPr="00892DCB">
        <w:rPr>
          <w:rFonts w:ascii="仿宋_GB2312" w:eastAsia="仿宋_GB2312" w:hAnsi="Times New Roman" w:cs="Times New Roman" w:hint="eastAsia"/>
          <w:sz w:val="32"/>
          <w:szCs w:val="32"/>
        </w:rPr>
        <w:t>、应细尽细。</w:t>
      </w:r>
    </w:p>
    <w:p w14:paraId="74C25149"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2.根据《省人民政府办公厅关于印发贵州省政府集中</w:t>
      </w:r>
      <w:r w:rsidRPr="00892DCB">
        <w:rPr>
          <w:rFonts w:ascii="仿宋_GB2312" w:eastAsia="仿宋_GB2312" w:hAnsi="Times New Roman" w:cs="Times New Roman"/>
          <w:sz w:val="32"/>
          <w:szCs w:val="32"/>
        </w:rPr>
        <w:t xml:space="preserve">采购目录及限额标准 </w:t>
      </w:r>
      <w:r w:rsidRPr="00892DCB">
        <w:rPr>
          <w:rFonts w:ascii="仿宋_GB2312" w:eastAsia="仿宋_GB2312" w:hAnsi="Times New Roman" w:cs="Times New Roman" w:hint="eastAsia"/>
          <w:sz w:val="32"/>
          <w:szCs w:val="32"/>
        </w:rPr>
        <w:t>(2021</w:t>
      </w:r>
      <w:r w:rsidRPr="00892DCB">
        <w:rPr>
          <w:rFonts w:ascii="仿宋_GB2312" w:eastAsia="仿宋_GB2312" w:hAnsi="Times New Roman" w:cs="Times New Roman"/>
          <w:sz w:val="32"/>
          <w:szCs w:val="32"/>
        </w:rPr>
        <w:t>年版)的通知</w:t>
      </w:r>
      <w:r w:rsidRPr="00892DCB">
        <w:rPr>
          <w:rFonts w:ascii="仿宋_GB2312" w:eastAsia="仿宋_GB2312" w:hAnsi="Times New Roman" w:cs="Times New Roman" w:hint="eastAsia"/>
          <w:sz w:val="32"/>
          <w:szCs w:val="32"/>
        </w:rPr>
        <w:t>》（黔府办发 〔2020〕35</w:t>
      </w:r>
      <w:r w:rsidRPr="00892DCB">
        <w:rPr>
          <w:rFonts w:ascii="仿宋_GB2312" w:eastAsia="仿宋_GB2312" w:hAnsi="Times New Roman" w:cs="Times New Roman"/>
          <w:sz w:val="32"/>
          <w:szCs w:val="32"/>
        </w:rPr>
        <w:t xml:space="preserve">号 </w:t>
      </w:r>
      <w:r w:rsidRPr="00892DCB">
        <w:rPr>
          <w:rFonts w:ascii="仿宋_GB2312" w:eastAsia="仿宋_GB2312" w:hAnsi="Times New Roman" w:cs="Times New Roman" w:hint="eastAsia"/>
          <w:sz w:val="32"/>
          <w:szCs w:val="32"/>
        </w:rPr>
        <w:t>）规定，车辆维修和保养服务、车辆加油服务、机动车保险服务纳入政府集中采购目录，因此公务用车发生的燃油费、维修费、保险费必须编制政府采购预算。</w:t>
      </w:r>
    </w:p>
    <w:p w14:paraId="5DB550D5"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3.按照规定在贵州省药品和医用耗材</w:t>
      </w:r>
      <w:proofErr w:type="gramStart"/>
      <w:r w:rsidRPr="00892DCB">
        <w:rPr>
          <w:rFonts w:ascii="仿宋_GB2312" w:eastAsia="仿宋_GB2312" w:hAnsi="Times New Roman" w:cs="Times New Roman" w:hint="eastAsia"/>
          <w:sz w:val="32"/>
          <w:szCs w:val="32"/>
        </w:rPr>
        <w:t>招采管理</w:t>
      </w:r>
      <w:proofErr w:type="gramEnd"/>
      <w:r w:rsidRPr="00892DCB">
        <w:rPr>
          <w:rFonts w:ascii="仿宋_GB2312" w:eastAsia="仿宋_GB2312" w:hAnsi="Times New Roman" w:cs="Times New Roman" w:hint="eastAsia"/>
          <w:sz w:val="32"/>
          <w:szCs w:val="32"/>
        </w:rPr>
        <w:t>子系统进行采购的项目，不再需要编制政府采购预算。</w:t>
      </w:r>
    </w:p>
    <w:p w14:paraId="0FEAEA33"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lastRenderedPageBreak/>
        <w:t>（五）其他编制要求</w:t>
      </w:r>
    </w:p>
    <w:p w14:paraId="422772CE"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基本预算中学院包干经费、校直单位、职能部门业务费、部门代管经费，除人员经费项目外，不得用于在职人员经费开支；不得用于硬件建设；除特殊项目外，一般不得用于公务出国。系统对不能开支内容对应的经济分类作了限定。</w:t>
      </w:r>
    </w:p>
    <w:p w14:paraId="7E6C1F3A"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四、预算编制时间安排</w:t>
      </w:r>
    </w:p>
    <w:p w14:paraId="14F6DE79" w14:textId="77777777" w:rsidR="00E62E79" w:rsidRPr="00892DCB" w:rsidRDefault="00000000">
      <w:pPr>
        <w:spacing w:line="360" w:lineRule="auto"/>
        <w:ind w:firstLineChars="200" w:firstLine="640"/>
        <w:rPr>
          <w:rFonts w:ascii="仿宋_GB2312" w:eastAsia="仿宋_GB2312"/>
          <w:sz w:val="32"/>
          <w:szCs w:val="32"/>
        </w:rPr>
      </w:pPr>
      <w:r w:rsidRPr="00892DCB">
        <w:rPr>
          <w:rFonts w:ascii="仿宋_GB2312" w:eastAsia="仿宋_GB2312" w:hint="eastAsia"/>
          <w:sz w:val="32"/>
          <w:szCs w:val="32"/>
        </w:rPr>
        <w:t>第一阶段，基本预算编制。编制完成时间：2024年7月30日前提交数据。</w:t>
      </w:r>
    </w:p>
    <w:p w14:paraId="5DC178BC" w14:textId="77777777" w:rsidR="00E62E79" w:rsidRPr="00892DCB" w:rsidRDefault="00000000">
      <w:pPr>
        <w:spacing w:line="360" w:lineRule="auto"/>
        <w:ind w:firstLineChars="200" w:firstLine="640"/>
        <w:rPr>
          <w:rFonts w:ascii="仿宋_GB2312" w:eastAsia="仿宋_GB2312"/>
          <w:sz w:val="32"/>
          <w:szCs w:val="32"/>
        </w:rPr>
      </w:pPr>
      <w:r w:rsidRPr="00892DCB">
        <w:rPr>
          <w:rFonts w:ascii="仿宋_GB2312" w:eastAsia="仿宋_GB2312" w:hint="eastAsia"/>
          <w:sz w:val="32"/>
          <w:szCs w:val="32"/>
        </w:rPr>
        <w:t>第二阶段，项目预算编制。由于专项项目入库后，财政需确定项目控制数，预算编制金额可能与项目入库金额有差异，待控制数确定后，编制完成时间另行通知。</w:t>
      </w:r>
    </w:p>
    <w:p w14:paraId="6241A7A6" w14:textId="77777777" w:rsidR="00E62E79" w:rsidRPr="00892DCB"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 xml:space="preserve">  </w:t>
      </w:r>
    </w:p>
    <w:p w14:paraId="0BC985F7" w14:textId="77777777" w:rsidR="00E62E79" w:rsidRDefault="00000000">
      <w:pPr>
        <w:spacing w:line="360" w:lineRule="auto"/>
        <w:ind w:firstLineChars="200" w:firstLine="640"/>
        <w:rPr>
          <w:rFonts w:ascii="仿宋_GB2312" w:eastAsia="仿宋_GB2312" w:hAnsi="Times New Roman" w:cs="Times New Roman"/>
          <w:sz w:val="32"/>
          <w:szCs w:val="32"/>
        </w:rPr>
      </w:pPr>
      <w:r w:rsidRPr="00892DCB">
        <w:rPr>
          <w:rFonts w:ascii="仿宋_GB2312" w:eastAsia="仿宋_GB2312" w:hAnsi="Times New Roman" w:cs="Times New Roman" w:hint="eastAsia"/>
          <w:sz w:val="32"/>
          <w:szCs w:val="32"/>
        </w:rPr>
        <w:t xml:space="preserve">                               2024年7月19日</w:t>
      </w:r>
    </w:p>
    <w:sectPr w:rsidR="00E62E79">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E4A206E" w14:textId="77777777" w:rsidR="00BF0361" w:rsidRDefault="00BF0361">
      <w:r>
        <w:separator/>
      </w:r>
    </w:p>
  </w:endnote>
  <w:endnote w:type="continuationSeparator" w:id="0">
    <w:p w14:paraId="60CEB072" w14:textId="77777777" w:rsidR="00BF0361" w:rsidRDefault="00BF03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仿宋_GB2312">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122EB3" w14:textId="77777777" w:rsidR="00E62E79" w:rsidRDefault="00000000">
    <w:pPr>
      <w:pStyle w:val="a7"/>
    </w:pPr>
    <w:r>
      <w:rPr>
        <w:noProof/>
      </w:rPr>
      <mc:AlternateContent>
        <mc:Choice Requires="wps">
          <w:drawing>
            <wp:anchor distT="0" distB="0" distL="114300" distR="114300" simplePos="0" relativeHeight="251659264" behindDoc="0" locked="0" layoutInCell="1" allowOverlap="1" wp14:anchorId="1B99D3FC" wp14:editId="7766310D">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74BD01" w14:textId="77777777" w:rsidR="00E62E79" w:rsidRDefault="00000000">
                          <w:pPr>
                            <w:pStyle w:val="a7"/>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xmlns:wpsCustomData="http://www.wps.cn/officeDocument/2013/wpsCustomData">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6"/>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BE33EA0" w14:textId="77777777" w:rsidR="00BF0361" w:rsidRDefault="00BF0361">
      <w:r>
        <w:separator/>
      </w:r>
    </w:p>
  </w:footnote>
  <w:footnote w:type="continuationSeparator" w:id="0">
    <w:p w14:paraId="0E5AA4C6" w14:textId="77777777" w:rsidR="00BF0361" w:rsidRDefault="00BF036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OTBhMWE3YmY5MjJkOWEyNGRjM2U5ZmNhOWVkYjYzMDcifQ=="/>
    <w:docVar w:name="KSO_WPS_MARK_KEY" w:val="d25f12c1-cee5-40d7-b62f-c65d8645379a"/>
  </w:docVars>
  <w:rsids>
    <w:rsidRoot w:val="0DFB7C97"/>
    <w:rsid w:val="00020C7A"/>
    <w:rsid w:val="00112E59"/>
    <w:rsid w:val="00176E3F"/>
    <w:rsid w:val="001B5288"/>
    <w:rsid w:val="00214007"/>
    <w:rsid w:val="00245BA7"/>
    <w:rsid w:val="00270645"/>
    <w:rsid w:val="00310D74"/>
    <w:rsid w:val="00310D92"/>
    <w:rsid w:val="00344EBF"/>
    <w:rsid w:val="00394E83"/>
    <w:rsid w:val="004A4D2E"/>
    <w:rsid w:val="006867BB"/>
    <w:rsid w:val="006C5F27"/>
    <w:rsid w:val="00777E62"/>
    <w:rsid w:val="007A1531"/>
    <w:rsid w:val="008248E8"/>
    <w:rsid w:val="00857590"/>
    <w:rsid w:val="00892DCB"/>
    <w:rsid w:val="008B543E"/>
    <w:rsid w:val="00A56F59"/>
    <w:rsid w:val="00A85CF9"/>
    <w:rsid w:val="00BF0361"/>
    <w:rsid w:val="00C331CD"/>
    <w:rsid w:val="00C422E8"/>
    <w:rsid w:val="00C7207D"/>
    <w:rsid w:val="00C82EFC"/>
    <w:rsid w:val="00CB198F"/>
    <w:rsid w:val="00CB677C"/>
    <w:rsid w:val="00CC5FF2"/>
    <w:rsid w:val="00D034A8"/>
    <w:rsid w:val="00D420FA"/>
    <w:rsid w:val="00DA5B20"/>
    <w:rsid w:val="00E62E79"/>
    <w:rsid w:val="00E77F85"/>
    <w:rsid w:val="00FB41FF"/>
    <w:rsid w:val="0166262D"/>
    <w:rsid w:val="01697A37"/>
    <w:rsid w:val="01C60A80"/>
    <w:rsid w:val="01E4495E"/>
    <w:rsid w:val="02243D14"/>
    <w:rsid w:val="025577BB"/>
    <w:rsid w:val="0258245B"/>
    <w:rsid w:val="02B72381"/>
    <w:rsid w:val="031674C1"/>
    <w:rsid w:val="031B5269"/>
    <w:rsid w:val="03261C81"/>
    <w:rsid w:val="037651D4"/>
    <w:rsid w:val="040022C5"/>
    <w:rsid w:val="05257E77"/>
    <w:rsid w:val="054B0A91"/>
    <w:rsid w:val="055D6E1A"/>
    <w:rsid w:val="05B62104"/>
    <w:rsid w:val="05F7109C"/>
    <w:rsid w:val="068A4E6D"/>
    <w:rsid w:val="07830333"/>
    <w:rsid w:val="07925D8C"/>
    <w:rsid w:val="080D5C6B"/>
    <w:rsid w:val="08603217"/>
    <w:rsid w:val="08E43E23"/>
    <w:rsid w:val="08FD35AE"/>
    <w:rsid w:val="092725CB"/>
    <w:rsid w:val="092C5332"/>
    <w:rsid w:val="09AF1462"/>
    <w:rsid w:val="0A67739A"/>
    <w:rsid w:val="0A995021"/>
    <w:rsid w:val="0AA42687"/>
    <w:rsid w:val="0ABA5CEB"/>
    <w:rsid w:val="0ACA4D73"/>
    <w:rsid w:val="0AD84D04"/>
    <w:rsid w:val="0B2D7F83"/>
    <w:rsid w:val="0B611E2D"/>
    <w:rsid w:val="0B8A0764"/>
    <w:rsid w:val="0BC22523"/>
    <w:rsid w:val="0C0445E3"/>
    <w:rsid w:val="0C264940"/>
    <w:rsid w:val="0C4F2E62"/>
    <w:rsid w:val="0CED685C"/>
    <w:rsid w:val="0D121876"/>
    <w:rsid w:val="0D94282C"/>
    <w:rsid w:val="0DFB7C97"/>
    <w:rsid w:val="0E0225DB"/>
    <w:rsid w:val="0E345366"/>
    <w:rsid w:val="0EA27867"/>
    <w:rsid w:val="0F2E37FC"/>
    <w:rsid w:val="0F3448D4"/>
    <w:rsid w:val="0F574B5A"/>
    <w:rsid w:val="0F9C2E60"/>
    <w:rsid w:val="0FDB1848"/>
    <w:rsid w:val="0FE722AE"/>
    <w:rsid w:val="10956E77"/>
    <w:rsid w:val="11181E7F"/>
    <w:rsid w:val="11231FA6"/>
    <w:rsid w:val="112D7B44"/>
    <w:rsid w:val="117A3E4D"/>
    <w:rsid w:val="11EF4CC1"/>
    <w:rsid w:val="120F34FD"/>
    <w:rsid w:val="122104C4"/>
    <w:rsid w:val="12507863"/>
    <w:rsid w:val="126800B3"/>
    <w:rsid w:val="129C1D86"/>
    <w:rsid w:val="13AB216F"/>
    <w:rsid w:val="13AE62BD"/>
    <w:rsid w:val="13E6533D"/>
    <w:rsid w:val="13E71B02"/>
    <w:rsid w:val="14246C34"/>
    <w:rsid w:val="145D0AF5"/>
    <w:rsid w:val="1481693A"/>
    <w:rsid w:val="149D060F"/>
    <w:rsid w:val="14B14384"/>
    <w:rsid w:val="14DE1B13"/>
    <w:rsid w:val="15C24212"/>
    <w:rsid w:val="15C874FB"/>
    <w:rsid w:val="164D5288"/>
    <w:rsid w:val="16B21E84"/>
    <w:rsid w:val="16EF1DE7"/>
    <w:rsid w:val="17001F00"/>
    <w:rsid w:val="17273CE5"/>
    <w:rsid w:val="1746328D"/>
    <w:rsid w:val="1827460C"/>
    <w:rsid w:val="18B8727D"/>
    <w:rsid w:val="18BC447A"/>
    <w:rsid w:val="18E65D6A"/>
    <w:rsid w:val="194A7A74"/>
    <w:rsid w:val="19514503"/>
    <w:rsid w:val="196F0280"/>
    <w:rsid w:val="1A336D04"/>
    <w:rsid w:val="1A3C695E"/>
    <w:rsid w:val="1A73584B"/>
    <w:rsid w:val="1B0E79D7"/>
    <w:rsid w:val="1B5E75A8"/>
    <w:rsid w:val="1B817D5D"/>
    <w:rsid w:val="1B997E3C"/>
    <w:rsid w:val="1BA172C6"/>
    <w:rsid w:val="1BBB3BA7"/>
    <w:rsid w:val="1BF42226"/>
    <w:rsid w:val="1C1F5DEC"/>
    <w:rsid w:val="1C7222F4"/>
    <w:rsid w:val="1C73210E"/>
    <w:rsid w:val="1C9354E5"/>
    <w:rsid w:val="1CCB5106"/>
    <w:rsid w:val="1D4B49E9"/>
    <w:rsid w:val="1D6332EE"/>
    <w:rsid w:val="1DB073CE"/>
    <w:rsid w:val="1DD75A38"/>
    <w:rsid w:val="1E1D27C9"/>
    <w:rsid w:val="1E5F397B"/>
    <w:rsid w:val="1EFB392F"/>
    <w:rsid w:val="1F045141"/>
    <w:rsid w:val="1F353228"/>
    <w:rsid w:val="1F581ECC"/>
    <w:rsid w:val="1FE36082"/>
    <w:rsid w:val="205671FC"/>
    <w:rsid w:val="20E81D10"/>
    <w:rsid w:val="20ED7F94"/>
    <w:rsid w:val="21004F7B"/>
    <w:rsid w:val="2126080E"/>
    <w:rsid w:val="212B6426"/>
    <w:rsid w:val="21332930"/>
    <w:rsid w:val="214D3196"/>
    <w:rsid w:val="215819C1"/>
    <w:rsid w:val="218365E1"/>
    <w:rsid w:val="21B756E0"/>
    <w:rsid w:val="22403AF6"/>
    <w:rsid w:val="2248149E"/>
    <w:rsid w:val="2267609D"/>
    <w:rsid w:val="2281131A"/>
    <w:rsid w:val="228152D6"/>
    <w:rsid w:val="22AA29D1"/>
    <w:rsid w:val="22AD795F"/>
    <w:rsid w:val="22BE73E1"/>
    <w:rsid w:val="233B5B77"/>
    <w:rsid w:val="236A2F5C"/>
    <w:rsid w:val="239D0C29"/>
    <w:rsid w:val="24340608"/>
    <w:rsid w:val="2440775E"/>
    <w:rsid w:val="244907C7"/>
    <w:rsid w:val="247E1DFC"/>
    <w:rsid w:val="24A97FE8"/>
    <w:rsid w:val="24CA6494"/>
    <w:rsid w:val="24FF1370"/>
    <w:rsid w:val="250518C0"/>
    <w:rsid w:val="25FD1F85"/>
    <w:rsid w:val="266479DD"/>
    <w:rsid w:val="26953A94"/>
    <w:rsid w:val="269946BF"/>
    <w:rsid w:val="273651F4"/>
    <w:rsid w:val="27772319"/>
    <w:rsid w:val="278616AC"/>
    <w:rsid w:val="28272A09"/>
    <w:rsid w:val="28BB7AE7"/>
    <w:rsid w:val="28BC7F27"/>
    <w:rsid w:val="28BE6EC5"/>
    <w:rsid w:val="28CF1770"/>
    <w:rsid w:val="290B2FDB"/>
    <w:rsid w:val="292D0315"/>
    <w:rsid w:val="293B5FBC"/>
    <w:rsid w:val="29526F16"/>
    <w:rsid w:val="295D2289"/>
    <w:rsid w:val="2961371B"/>
    <w:rsid w:val="29A01E65"/>
    <w:rsid w:val="29E647A0"/>
    <w:rsid w:val="2A3128E3"/>
    <w:rsid w:val="2A533261"/>
    <w:rsid w:val="2A6A0094"/>
    <w:rsid w:val="2A94012F"/>
    <w:rsid w:val="2A9D31C6"/>
    <w:rsid w:val="2ADD2154"/>
    <w:rsid w:val="2AF2027C"/>
    <w:rsid w:val="2B07735B"/>
    <w:rsid w:val="2B2D26C2"/>
    <w:rsid w:val="2B600F70"/>
    <w:rsid w:val="2C1556DD"/>
    <w:rsid w:val="2C494DBF"/>
    <w:rsid w:val="2C8677FF"/>
    <w:rsid w:val="2CA53E80"/>
    <w:rsid w:val="2D1036D4"/>
    <w:rsid w:val="2D166F14"/>
    <w:rsid w:val="2D4C05C4"/>
    <w:rsid w:val="2D6A2F71"/>
    <w:rsid w:val="2D7920B2"/>
    <w:rsid w:val="2DA938D5"/>
    <w:rsid w:val="2DE2209E"/>
    <w:rsid w:val="2DED647F"/>
    <w:rsid w:val="2E2905E9"/>
    <w:rsid w:val="2E413428"/>
    <w:rsid w:val="2E7F682E"/>
    <w:rsid w:val="2E9B1713"/>
    <w:rsid w:val="2EB27C6F"/>
    <w:rsid w:val="2EB60BA8"/>
    <w:rsid w:val="2EC746CD"/>
    <w:rsid w:val="2ED64F24"/>
    <w:rsid w:val="2F064DB6"/>
    <w:rsid w:val="2F2D3B7C"/>
    <w:rsid w:val="2F54472C"/>
    <w:rsid w:val="2F8275B5"/>
    <w:rsid w:val="2FC93440"/>
    <w:rsid w:val="307B5911"/>
    <w:rsid w:val="30C86016"/>
    <w:rsid w:val="31032B1B"/>
    <w:rsid w:val="31085D38"/>
    <w:rsid w:val="312434F4"/>
    <w:rsid w:val="31457134"/>
    <w:rsid w:val="31573A61"/>
    <w:rsid w:val="316E7B4C"/>
    <w:rsid w:val="31976357"/>
    <w:rsid w:val="31BE3F5C"/>
    <w:rsid w:val="31C610CB"/>
    <w:rsid w:val="32C63411"/>
    <w:rsid w:val="32D76EDC"/>
    <w:rsid w:val="32E341BA"/>
    <w:rsid w:val="33502A67"/>
    <w:rsid w:val="33D00A0D"/>
    <w:rsid w:val="33DC4296"/>
    <w:rsid w:val="341E0E47"/>
    <w:rsid w:val="34AE00B1"/>
    <w:rsid w:val="355778A4"/>
    <w:rsid w:val="35A95D53"/>
    <w:rsid w:val="35BE6B80"/>
    <w:rsid w:val="35E571A0"/>
    <w:rsid w:val="35EA06D2"/>
    <w:rsid w:val="36436730"/>
    <w:rsid w:val="36FD45D1"/>
    <w:rsid w:val="37045C73"/>
    <w:rsid w:val="370C233F"/>
    <w:rsid w:val="371F7C0C"/>
    <w:rsid w:val="383528FD"/>
    <w:rsid w:val="38BB4163"/>
    <w:rsid w:val="38EE0E51"/>
    <w:rsid w:val="38F92E23"/>
    <w:rsid w:val="390F462C"/>
    <w:rsid w:val="392C43DC"/>
    <w:rsid w:val="393B45C7"/>
    <w:rsid w:val="395B4802"/>
    <w:rsid w:val="39611E24"/>
    <w:rsid w:val="39975D16"/>
    <w:rsid w:val="39B474A0"/>
    <w:rsid w:val="3A6C56C7"/>
    <w:rsid w:val="3A8F0CA3"/>
    <w:rsid w:val="3ABC268C"/>
    <w:rsid w:val="3AF5035D"/>
    <w:rsid w:val="3B4C5AB1"/>
    <w:rsid w:val="3B58581F"/>
    <w:rsid w:val="3B916CBD"/>
    <w:rsid w:val="3C041F96"/>
    <w:rsid w:val="3C5A0591"/>
    <w:rsid w:val="3C6D5D0F"/>
    <w:rsid w:val="3C7F5483"/>
    <w:rsid w:val="3CBE1409"/>
    <w:rsid w:val="3CF81F6A"/>
    <w:rsid w:val="3D1614E5"/>
    <w:rsid w:val="3D525D78"/>
    <w:rsid w:val="3D7450AC"/>
    <w:rsid w:val="3D833DAE"/>
    <w:rsid w:val="3DBB4368"/>
    <w:rsid w:val="3DC85058"/>
    <w:rsid w:val="3E150F12"/>
    <w:rsid w:val="3E3C12B2"/>
    <w:rsid w:val="3E7942CE"/>
    <w:rsid w:val="3E8E4185"/>
    <w:rsid w:val="3EA16BE2"/>
    <w:rsid w:val="3F4079CB"/>
    <w:rsid w:val="3F454F90"/>
    <w:rsid w:val="3F885D9C"/>
    <w:rsid w:val="3F9233DC"/>
    <w:rsid w:val="403B33D3"/>
    <w:rsid w:val="404B1A71"/>
    <w:rsid w:val="405F228F"/>
    <w:rsid w:val="40FA3183"/>
    <w:rsid w:val="41E54D48"/>
    <w:rsid w:val="41E67B94"/>
    <w:rsid w:val="42E30B87"/>
    <w:rsid w:val="43400BB0"/>
    <w:rsid w:val="434933F7"/>
    <w:rsid w:val="43B27FE9"/>
    <w:rsid w:val="43FA2E7D"/>
    <w:rsid w:val="44230996"/>
    <w:rsid w:val="449E7118"/>
    <w:rsid w:val="44D271A4"/>
    <w:rsid w:val="44DB1AFE"/>
    <w:rsid w:val="45130286"/>
    <w:rsid w:val="454E459C"/>
    <w:rsid w:val="454F2F5C"/>
    <w:rsid w:val="45D160F6"/>
    <w:rsid w:val="45E62B0B"/>
    <w:rsid w:val="467E7B32"/>
    <w:rsid w:val="46803C7B"/>
    <w:rsid w:val="47372A84"/>
    <w:rsid w:val="473802BB"/>
    <w:rsid w:val="4758065C"/>
    <w:rsid w:val="475F0D58"/>
    <w:rsid w:val="47681075"/>
    <w:rsid w:val="47757FA3"/>
    <w:rsid w:val="47BE389F"/>
    <w:rsid w:val="47D32BAA"/>
    <w:rsid w:val="48024D18"/>
    <w:rsid w:val="4825240E"/>
    <w:rsid w:val="48361CE1"/>
    <w:rsid w:val="48746B68"/>
    <w:rsid w:val="48CA7719"/>
    <w:rsid w:val="49771902"/>
    <w:rsid w:val="49815E21"/>
    <w:rsid w:val="499A263F"/>
    <w:rsid w:val="49F707F0"/>
    <w:rsid w:val="4A27221E"/>
    <w:rsid w:val="4A31709E"/>
    <w:rsid w:val="4A3D3D68"/>
    <w:rsid w:val="4A514B2F"/>
    <w:rsid w:val="4A574330"/>
    <w:rsid w:val="4A910FE1"/>
    <w:rsid w:val="4A94681E"/>
    <w:rsid w:val="4AD0317E"/>
    <w:rsid w:val="4AF34695"/>
    <w:rsid w:val="4B3502E9"/>
    <w:rsid w:val="4B5F0B93"/>
    <w:rsid w:val="4BAA19EF"/>
    <w:rsid w:val="4BBE300B"/>
    <w:rsid w:val="4C736AF9"/>
    <w:rsid w:val="4CAD6FC9"/>
    <w:rsid w:val="4CBC1650"/>
    <w:rsid w:val="4CEF6496"/>
    <w:rsid w:val="4D1049E4"/>
    <w:rsid w:val="4D244BA4"/>
    <w:rsid w:val="4D2D3A6B"/>
    <w:rsid w:val="4D684623"/>
    <w:rsid w:val="4D6E63E7"/>
    <w:rsid w:val="4D870842"/>
    <w:rsid w:val="4DC77D6D"/>
    <w:rsid w:val="4E0C3861"/>
    <w:rsid w:val="4E32698C"/>
    <w:rsid w:val="4E7F6600"/>
    <w:rsid w:val="4EBE7CCD"/>
    <w:rsid w:val="4EBF7435"/>
    <w:rsid w:val="4F082CCE"/>
    <w:rsid w:val="4F895562"/>
    <w:rsid w:val="500331BB"/>
    <w:rsid w:val="503F56E2"/>
    <w:rsid w:val="509E5610"/>
    <w:rsid w:val="50D23F13"/>
    <w:rsid w:val="50D93ED8"/>
    <w:rsid w:val="50D9701F"/>
    <w:rsid w:val="5117665F"/>
    <w:rsid w:val="511D5E05"/>
    <w:rsid w:val="51E24A00"/>
    <w:rsid w:val="52731C6B"/>
    <w:rsid w:val="52880E2B"/>
    <w:rsid w:val="52A503B4"/>
    <w:rsid w:val="531D4968"/>
    <w:rsid w:val="53243A4C"/>
    <w:rsid w:val="53297E56"/>
    <w:rsid w:val="54057B18"/>
    <w:rsid w:val="5413159F"/>
    <w:rsid w:val="550A6CED"/>
    <w:rsid w:val="5520036A"/>
    <w:rsid w:val="552751B6"/>
    <w:rsid w:val="557148B5"/>
    <w:rsid w:val="55C36A08"/>
    <w:rsid w:val="55D17D3D"/>
    <w:rsid w:val="55F458B5"/>
    <w:rsid w:val="55FC4276"/>
    <w:rsid w:val="55FD094A"/>
    <w:rsid w:val="56742737"/>
    <w:rsid w:val="56AE302B"/>
    <w:rsid w:val="56E72331"/>
    <w:rsid w:val="56EF427E"/>
    <w:rsid w:val="5758743C"/>
    <w:rsid w:val="57746E71"/>
    <w:rsid w:val="57776ECD"/>
    <w:rsid w:val="57C97A4C"/>
    <w:rsid w:val="57DF2DA7"/>
    <w:rsid w:val="587A50A8"/>
    <w:rsid w:val="58EB3503"/>
    <w:rsid w:val="59E07274"/>
    <w:rsid w:val="59F41DC4"/>
    <w:rsid w:val="5A1E2F1B"/>
    <w:rsid w:val="5A415B04"/>
    <w:rsid w:val="5A6A7023"/>
    <w:rsid w:val="5B000B95"/>
    <w:rsid w:val="5B6152BF"/>
    <w:rsid w:val="5B855BD4"/>
    <w:rsid w:val="5BAB3522"/>
    <w:rsid w:val="5BAF0E3E"/>
    <w:rsid w:val="5BC1273F"/>
    <w:rsid w:val="5BCF3044"/>
    <w:rsid w:val="5C424A7B"/>
    <w:rsid w:val="5C990545"/>
    <w:rsid w:val="5C9C5F07"/>
    <w:rsid w:val="5CFA15E9"/>
    <w:rsid w:val="5D052C48"/>
    <w:rsid w:val="5D502F0D"/>
    <w:rsid w:val="5D5F0727"/>
    <w:rsid w:val="5E0B11F1"/>
    <w:rsid w:val="5EC20C19"/>
    <w:rsid w:val="5EE32A62"/>
    <w:rsid w:val="5EE335DF"/>
    <w:rsid w:val="5EF52C70"/>
    <w:rsid w:val="60B35989"/>
    <w:rsid w:val="60DC3E71"/>
    <w:rsid w:val="60EE3D99"/>
    <w:rsid w:val="613E178A"/>
    <w:rsid w:val="61492FC5"/>
    <w:rsid w:val="61741187"/>
    <w:rsid w:val="61A22AE5"/>
    <w:rsid w:val="61E9565C"/>
    <w:rsid w:val="6218452A"/>
    <w:rsid w:val="624257D0"/>
    <w:rsid w:val="62501F3B"/>
    <w:rsid w:val="62652D06"/>
    <w:rsid w:val="6298441E"/>
    <w:rsid w:val="62C86619"/>
    <w:rsid w:val="62D04B91"/>
    <w:rsid w:val="62DB5079"/>
    <w:rsid w:val="62F057A5"/>
    <w:rsid w:val="63637374"/>
    <w:rsid w:val="6366288F"/>
    <w:rsid w:val="63B07A69"/>
    <w:rsid w:val="63CD3D66"/>
    <w:rsid w:val="64267F4C"/>
    <w:rsid w:val="64AE7DEF"/>
    <w:rsid w:val="64B23A51"/>
    <w:rsid w:val="64F87D68"/>
    <w:rsid w:val="64F917B4"/>
    <w:rsid w:val="65030334"/>
    <w:rsid w:val="650619CB"/>
    <w:rsid w:val="65AC7548"/>
    <w:rsid w:val="65B77251"/>
    <w:rsid w:val="667516A0"/>
    <w:rsid w:val="66847459"/>
    <w:rsid w:val="66870631"/>
    <w:rsid w:val="66B6714F"/>
    <w:rsid w:val="66BA01EF"/>
    <w:rsid w:val="66D516F2"/>
    <w:rsid w:val="66FA74CD"/>
    <w:rsid w:val="67493A58"/>
    <w:rsid w:val="679B5D14"/>
    <w:rsid w:val="67A37A77"/>
    <w:rsid w:val="67A9797B"/>
    <w:rsid w:val="67AB7382"/>
    <w:rsid w:val="67BE0A19"/>
    <w:rsid w:val="67BE15B1"/>
    <w:rsid w:val="67D3541E"/>
    <w:rsid w:val="67D7478E"/>
    <w:rsid w:val="67F253F9"/>
    <w:rsid w:val="68B52EC5"/>
    <w:rsid w:val="68B7537B"/>
    <w:rsid w:val="68CA5653"/>
    <w:rsid w:val="68F13C95"/>
    <w:rsid w:val="68F55474"/>
    <w:rsid w:val="691B2775"/>
    <w:rsid w:val="69534859"/>
    <w:rsid w:val="697908D3"/>
    <w:rsid w:val="6A0159C4"/>
    <w:rsid w:val="6A2F4B57"/>
    <w:rsid w:val="6A3A3A20"/>
    <w:rsid w:val="6A4458AA"/>
    <w:rsid w:val="6A487987"/>
    <w:rsid w:val="6AF21F16"/>
    <w:rsid w:val="6B541F29"/>
    <w:rsid w:val="6BBE6090"/>
    <w:rsid w:val="6C5524C2"/>
    <w:rsid w:val="6CBF2D18"/>
    <w:rsid w:val="6CCE2675"/>
    <w:rsid w:val="6CCE6910"/>
    <w:rsid w:val="6D45611C"/>
    <w:rsid w:val="6D86696C"/>
    <w:rsid w:val="6DF016C3"/>
    <w:rsid w:val="6E0A39D3"/>
    <w:rsid w:val="6E1956F2"/>
    <w:rsid w:val="6E413BD9"/>
    <w:rsid w:val="6E875601"/>
    <w:rsid w:val="6EB1628C"/>
    <w:rsid w:val="6EDB6E96"/>
    <w:rsid w:val="6EE934FB"/>
    <w:rsid w:val="6F14608E"/>
    <w:rsid w:val="6F264C9B"/>
    <w:rsid w:val="6F2D36AC"/>
    <w:rsid w:val="6F760AFF"/>
    <w:rsid w:val="6F7842E0"/>
    <w:rsid w:val="6F9401CB"/>
    <w:rsid w:val="6FA1152E"/>
    <w:rsid w:val="708145C7"/>
    <w:rsid w:val="70947120"/>
    <w:rsid w:val="71243387"/>
    <w:rsid w:val="71A548D0"/>
    <w:rsid w:val="71C26774"/>
    <w:rsid w:val="71C74BDD"/>
    <w:rsid w:val="72743465"/>
    <w:rsid w:val="72E2780D"/>
    <w:rsid w:val="73266EDE"/>
    <w:rsid w:val="734F6B81"/>
    <w:rsid w:val="73535B7A"/>
    <w:rsid w:val="740F04FC"/>
    <w:rsid w:val="749D5034"/>
    <w:rsid w:val="74D143D4"/>
    <w:rsid w:val="75045C11"/>
    <w:rsid w:val="750F461F"/>
    <w:rsid w:val="752A72A4"/>
    <w:rsid w:val="75DA31B1"/>
    <w:rsid w:val="76481FA2"/>
    <w:rsid w:val="76690945"/>
    <w:rsid w:val="76DD0976"/>
    <w:rsid w:val="774317A4"/>
    <w:rsid w:val="777F0E80"/>
    <w:rsid w:val="78083625"/>
    <w:rsid w:val="781A4C0D"/>
    <w:rsid w:val="781E0C28"/>
    <w:rsid w:val="78A6284C"/>
    <w:rsid w:val="78DE48A4"/>
    <w:rsid w:val="78F25226"/>
    <w:rsid w:val="790A6E68"/>
    <w:rsid w:val="79164C28"/>
    <w:rsid w:val="79782A30"/>
    <w:rsid w:val="79C47DD2"/>
    <w:rsid w:val="79D85C30"/>
    <w:rsid w:val="7A0C6B95"/>
    <w:rsid w:val="7A677083"/>
    <w:rsid w:val="7A7B3E71"/>
    <w:rsid w:val="7AC50721"/>
    <w:rsid w:val="7AEF43C4"/>
    <w:rsid w:val="7B493953"/>
    <w:rsid w:val="7B6173D5"/>
    <w:rsid w:val="7B787792"/>
    <w:rsid w:val="7B9660D3"/>
    <w:rsid w:val="7C24645C"/>
    <w:rsid w:val="7C38769A"/>
    <w:rsid w:val="7C702B07"/>
    <w:rsid w:val="7CC9074C"/>
    <w:rsid w:val="7D064C43"/>
    <w:rsid w:val="7D141AF5"/>
    <w:rsid w:val="7D421495"/>
    <w:rsid w:val="7D465C63"/>
    <w:rsid w:val="7D4D6FFE"/>
    <w:rsid w:val="7D564418"/>
    <w:rsid w:val="7D69461B"/>
    <w:rsid w:val="7DCE5F1E"/>
    <w:rsid w:val="7E2D0827"/>
    <w:rsid w:val="7E6B129D"/>
    <w:rsid w:val="7EFA5507"/>
    <w:rsid w:val="7F016E91"/>
    <w:rsid w:val="7F43706A"/>
    <w:rsid w:val="7F515813"/>
    <w:rsid w:val="7F6A6036"/>
    <w:rsid w:val="7FEC54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87C8ACC"/>
  <w15:docId w15:val="{7373B90B-39D8-4BB3-A7CD-33038683CC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qFormat="1"/>
    <w:lsdException w:name="annotation text" w:qFormat="1"/>
    <w:lsdException w:name="header" w:qFormat="1"/>
    <w:lsdException w:name="footer" w:qFormat="1"/>
    <w:lsdException w:name="caption" w:semiHidden="1" w:unhideWhenUsed="1" w:qFormat="1"/>
    <w:lsdException w:name="annotation reference" w:qFormat="1"/>
    <w:lsdException w:name="Title" w:qFormat="1"/>
    <w:lsdException w:name="Default Paragraph Font" w:semiHidden="1" w:uiPriority="1" w:unhideWhenUsed="1" w:qFormat="1"/>
    <w:lsdException w:name="Body Text Indent" w:qFormat="1"/>
    <w:lsdException w:name="Subtitle" w:qFormat="1"/>
    <w:lsdException w:name="Body Text First Indent 2" w:qFormat="1"/>
    <w:lsdException w:name="Strong" w:qFormat="1"/>
    <w:lsdException w:name="Emphasis" w:uiPriority="20" w:qFormat="1"/>
    <w:lsdException w:name="HTML Top of Form" w:semiHidden="1" w:uiPriority="99" w:unhideWhenUsed="1"/>
    <w:lsdException w:name="HTML Bottom of Form" w:semiHidden="1" w:uiPriority="99"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a0"/>
    <w:qFormat/>
    <w:pPr>
      <w:widowControl w:val="0"/>
      <w:jc w:val="both"/>
    </w:pPr>
    <w:rPr>
      <w:rFonts w:asciiTheme="minorHAnsi" w:eastAsiaTheme="minorEastAsia" w:hAnsiTheme="minorHAnsi" w:cstheme="minorBidi"/>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note text"/>
    <w:basedOn w:val="a"/>
    <w:next w:val="2"/>
    <w:qFormat/>
    <w:pPr>
      <w:snapToGrid w:val="0"/>
      <w:jc w:val="left"/>
    </w:pPr>
    <w:rPr>
      <w:sz w:val="18"/>
      <w:szCs w:val="18"/>
    </w:rPr>
  </w:style>
  <w:style w:type="paragraph" w:styleId="2">
    <w:name w:val="Body Text First Indent 2"/>
    <w:basedOn w:val="a4"/>
    <w:next w:val="a"/>
    <w:qFormat/>
    <w:pPr>
      <w:ind w:firstLineChars="200" w:firstLine="420"/>
    </w:pPr>
  </w:style>
  <w:style w:type="paragraph" w:styleId="a4">
    <w:name w:val="Body Text Indent"/>
    <w:basedOn w:val="a"/>
    <w:next w:val="2"/>
    <w:qFormat/>
    <w:pPr>
      <w:spacing w:after="120"/>
      <w:ind w:leftChars="200" w:left="420"/>
    </w:pPr>
  </w:style>
  <w:style w:type="paragraph" w:styleId="a5">
    <w:name w:val="annotation text"/>
    <w:basedOn w:val="a"/>
    <w:link w:val="a6"/>
    <w:qFormat/>
    <w:pPr>
      <w:jc w:val="left"/>
    </w:pPr>
  </w:style>
  <w:style w:type="paragraph" w:styleId="a7">
    <w:name w:val="footer"/>
    <w:basedOn w:val="a"/>
    <w:qFormat/>
    <w:pPr>
      <w:tabs>
        <w:tab w:val="center" w:pos="4153"/>
        <w:tab w:val="right" w:pos="8306"/>
      </w:tabs>
      <w:snapToGrid w:val="0"/>
      <w:jc w:val="left"/>
    </w:pPr>
    <w:rPr>
      <w:sz w:val="18"/>
    </w:rPr>
  </w:style>
  <w:style w:type="paragraph" w:styleId="a8">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9">
    <w:name w:val="Subtitle"/>
    <w:basedOn w:val="a"/>
    <w:next w:val="a"/>
    <w:qFormat/>
    <w:pPr>
      <w:spacing w:before="240" w:after="60" w:line="312" w:lineRule="auto"/>
      <w:jc w:val="center"/>
      <w:outlineLvl w:val="1"/>
    </w:pPr>
    <w:rPr>
      <w:rFonts w:ascii="Cambria" w:hAnsi="Cambria" w:cs="Times New Roman"/>
      <w:b/>
      <w:bCs/>
      <w:kern w:val="28"/>
      <w:sz w:val="32"/>
      <w:szCs w:val="32"/>
    </w:rPr>
  </w:style>
  <w:style w:type="paragraph" w:styleId="aa">
    <w:name w:val="annotation subject"/>
    <w:basedOn w:val="a5"/>
    <w:next w:val="a5"/>
    <w:link w:val="ab"/>
    <w:qFormat/>
    <w:rPr>
      <w:b/>
      <w:bCs/>
    </w:rPr>
  </w:style>
  <w:style w:type="character" w:styleId="ac">
    <w:name w:val="Emphasis"/>
    <w:basedOn w:val="a1"/>
    <w:uiPriority w:val="20"/>
    <w:qFormat/>
    <w:rPr>
      <w:i/>
      <w:iCs/>
    </w:rPr>
  </w:style>
  <w:style w:type="character" w:styleId="ad">
    <w:name w:val="annotation reference"/>
    <w:basedOn w:val="a1"/>
    <w:qFormat/>
    <w:rPr>
      <w:sz w:val="21"/>
      <w:szCs w:val="21"/>
    </w:rPr>
  </w:style>
  <w:style w:type="character" w:customStyle="1" w:styleId="a6">
    <w:name w:val="批注文字 字符"/>
    <w:basedOn w:val="a1"/>
    <w:link w:val="a5"/>
    <w:qFormat/>
    <w:rPr>
      <w:rFonts w:asciiTheme="minorHAnsi" w:eastAsiaTheme="minorEastAsia" w:hAnsiTheme="minorHAnsi" w:cstheme="minorBidi"/>
      <w:kern w:val="2"/>
      <w:sz w:val="21"/>
      <w:szCs w:val="24"/>
    </w:rPr>
  </w:style>
  <w:style w:type="character" w:customStyle="1" w:styleId="ab">
    <w:name w:val="批注主题 字符"/>
    <w:basedOn w:val="a6"/>
    <w:link w:val="aa"/>
    <w:qFormat/>
    <w:rPr>
      <w:rFonts w:asciiTheme="minorHAnsi" w:eastAsiaTheme="minorEastAsia" w:hAnsiTheme="minorHAnsi" w:cstheme="minorBidi"/>
      <w:b/>
      <w:bCs/>
      <w:kern w:val="2"/>
      <w:sz w:val="21"/>
      <w:szCs w:val="24"/>
    </w:rPr>
  </w:style>
  <w:style w:type="paragraph" w:customStyle="1" w:styleId="1">
    <w:name w:val="修订1"/>
    <w:hidden/>
    <w:uiPriority w:val="99"/>
    <w:semiHidden/>
    <w:qFormat/>
    <w:rPr>
      <w:rFonts w:asciiTheme="minorHAnsi" w:eastAsiaTheme="minorEastAsia" w:hAnsiTheme="minorHAnsi" w:cstheme="minorBidi"/>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6</Pages>
  <Words>403</Words>
  <Characters>2298</Characters>
  <Application>Microsoft Office Word</Application>
  <DocSecurity>0</DocSecurity>
  <Lines>19</Lines>
  <Paragraphs>5</Paragraphs>
  <ScaleCrop>false</ScaleCrop>
  <Company/>
  <LinksUpToDate>false</LinksUpToDate>
  <CharactersWithSpaces>2696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黄有慧</cp:lastModifiedBy>
  <cp:revision>5</cp:revision>
  <cp:lastPrinted>2023-11-07T01:22:00Z</cp:lastPrinted>
  <dcterms:created xsi:type="dcterms:W3CDTF">2023-11-09T06:41:00Z</dcterms:created>
  <dcterms:modified xsi:type="dcterms:W3CDTF">2024-07-19T06:45:00Z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2052-11.1.0.14252</vt:lpwstr>
  </property>
  <property fmtid="{D5CDD505-2E9C-101B-9397-08002B2CF9AE}" pid="3" name="ICV">
    <vt:lpwstr>1763C9C0BFFA48EABC4A9BB915597707_13</vt:lpwstr>
  </property>
</Properties>
</file>