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970B8">
      <w:pPr>
        <w:pStyle w:val="2"/>
        <w:bidi w:val="0"/>
        <w:spacing w:line="240" w:lineRule="auto"/>
        <w:jc w:val="center"/>
        <w:rPr>
          <w:rFonts w:hint="eastAsia"/>
          <w:lang w:val="en-US" w:eastAsia="zh-CN"/>
        </w:rPr>
      </w:pPr>
      <w:r>
        <w:rPr>
          <w:rFonts w:hint="eastAsia"/>
          <w:lang w:val="en-US" w:eastAsia="zh-CN"/>
        </w:rPr>
        <w:t>贵州大学</w:t>
      </w:r>
    </w:p>
    <w:p w14:paraId="75931F9F">
      <w:pPr>
        <w:pStyle w:val="2"/>
        <w:bidi w:val="0"/>
        <w:spacing w:line="240" w:lineRule="auto"/>
        <w:jc w:val="center"/>
        <w:rPr>
          <w:rFonts w:hint="default"/>
          <w:lang w:val="en-US" w:eastAsia="zh-CN"/>
        </w:rPr>
      </w:pPr>
      <w:r>
        <w:rPr>
          <w:rFonts w:hint="eastAsia"/>
          <w:lang w:val="en-US" w:eastAsia="zh-CN"/>
        </w:rPr>
        <w:t>智慧财务系统功能模块介绍</w:t>
      </w:r>
    </w:p>
    <w:p w14:paraId="571E687C">
      <w:pPr>
        <w:keepNext w:val="0"/>
        <w:keepLines w:val="0"/>
        <w:widowControl/>
        <w:suppressLineNumbers w:val="0"/>
        <w:jc w:val="left"/>
        <w:rPr>
          <w:rFonts w:ascii="宋体" w:hAnsi="宋体" w:eastAsia="宋体" w:cs="宋体"/>
          <w:kern w:val="0"/>
          <w:sz w:val="24"/>
          <w:szCs w:val="24"/>
          <w:lang w:val="en-US" w:eastAsia="zh-CN" w:bidi="ar"/>
        </w:rPr>
      </w:pPr>
      <w:r>
        <w:drawing>
          <wp:inline distT="0" distB="0" distL="114300" distR="114300">
            <wp:extent cx="5266690" cy="2014855"/>
            <wp:effectExtent l="0" t="0" r="381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5266690" cy="2014855"/>
                    </a:xfrm>
                    <a:prstGeom prst="rect">
                      <a:avLst/>
                    </a:prstGeom>
                    <a:noFill/>
                    <a:ln>
                      <a:noFill/>
                    </a:ln>
                  </pic:spPr>
                </pic:pic>
              </a:graphicData>
            </a:graphic>
          </wp:inline>
        </w:drawing>
      </w:r>
    </w:p>
    <w:p w14:paraId="32818379">
      <w:pPr>
        <w:keepNext w:val="0"/>
        <w:keepLines w:val="0"/>
        <w:widowControl/>
        <w:suppressLineNumbers w:val="0"/>
        <w:jc w:val="left"/>
        <w:rPr>
          <w:rFonts w:ascii="宋体" w:hAnsi="宋体" w:eastAsia="宋体" w:cs="宋体"/>
          <w:kern w:val="0"/>
          <w:sz w:val="24"/>
          <w:szCs w:val="24"/>
          <w:lang w:val="en-US" w:eastAsia="zh-CN" w:bidi="ar"/>
        </w:rPr>
      </w:pPr>
    </w:p>
    <w:p w14:paraId="7D616478">
      <w:pPr>
        <w:keepNext w:val="0"/>
        <w:keepLines w:val="0"/>
        <w:widowControl/>
        <w:suppressLineNumbers w:val="0"/>
        <w:jc w:val="left"/>
      </w:pPr>
      <w:bookmarkStart w:id="0" w:name="_GoBack"/>
      <w:bookmarkEnd w:id="0"/>
      <w:r>
        <w:rPr>
          <w:rFonts w:ascii="宋体" w:hAnsi="宋体" w:eastAsia="宋体" w:cs="宋体"/>
          <w:kern w:val="0"/>
          <w:sz w:val="24"/>
          <w:szCs w:val="24"/>
          <w:lang w:val="en-US" w:eastAsia="zh-CN" w:bidi="ar"/>
        </w:rPr>
        <w:t>“无投递”交单模式适用范围包括“学生劳务发放”、“校内人员其他工薪收入发放”和“校外人员劳务申报发放”三类人员费申报业务。以校内人员科研专家咨询费发放为例，具体操作流程如下：</w:t>
      </w:r>
    </w:p>
    <w:p w14:paraId="098828AA">
      <w:pPr>
        <w:keepNext w:val="0"/>
        <w:keepLines w:val="0"/>
        <w:widowControl/>
        <w:numPr>
          <w:ilvl w:val="0"/>
          <w:numId w:val="1"/>
        </w:numPr>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填单人在财务“网上申报系统”-“校内人员其他工薪收入”模块中依次选择“发放类型”、“经费项目”，添加发放人员信息，点击提交“线上审批”，</w:t>
      </w:r>
      <w:r>
        <w:rPr>
          <w:rFonts w:hint="eastAsia" w:ascii="宋体" w:hAnsi="宋体" w:eastAsia="宋体" w:cs="宋体"/>
          <w:kern w:val="0"/>
          <w:sz w:val="24"/>
          <w:szCs w:val="24"/>
          <w:lang w:val="en-US" w:eastAsia="zh-CN" w:bidi="ar"/>
        </w:rPr>
        <w:t>附件必须上传。</w:t>
      </w:r>
    </w:p>
    <w:p w14:paraId="322F6D3B">
      <w:pPr>
        <w:keepNext w:val="0"/>
        <w:keepLines w:val="0"/>
        <w:widowControl/>
        <w:numPr>
          <w:ilvl w:val="0"/>
          <w:numId w:val="0"/>
        </w:numPr>
        <w:suppressLineNumbers w:val="0"/>
        <w:jc w:val="left"/>
      </w:pPr>
      <w:r>
        <w:drawing>
          <wp:inline distT="0" distB="0" distL="114300" distR="114300">
            <wp:extent cx="5273040" cy="2611755"/>
            <wp:effectExtent l="0" t="0" r="1016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040" cy="2611755"/>
                    </a:xfrm>
                    <a:prstGeom prst="rect">
                      <a:avLst/>
                    </a:prstGeom>
                    <a:noFill/>
                    <a:ln>
                      <a:noFill/>
                    </a:ln>
                  </pic:spPr>
                </pic:pic>
              </a:graphicData>
            </a:graphic>
          </wp:inline>
        </w:drawing>
      </w:r>
      <w:r>
        <w:drawing>
          <wp:inline distT="0" distB="0" distL="114300" distR="114300">
            <wp:extent cx="5272405" cy="2994660"/>
            <wp:effectExtent l="0" t="0" r="1079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2405" cy="2994660"/>
                    </a:xfrm>
                    <a:prstGeom prst="rect">
                      <a:avLst/>
                    </a:prstGeom>
                    <a:noFill/>
                    <a:ln>
                      <a:noFill/>
                    </a:ln>
                  </pic:spPr>
                </pic:pic>
              </a:graphicData>
            </a:graphic>
          </wp:inline>
        </w:drawing>
      </w:r>
    </w:p>
    <w:p w14:paraId="61EC8D3A">
      <w:pPr>
        <w:keepNext w:val="0"/>
        <w:keepLines w:val="0"/>
        <w:widowControl/>
        <w:numPr>
          <w:ilvl w:val="0"/>
          <w:numId w:val="0"/>
        </w:numPr>
        <w:suppressLineNumbers w:val="0"/>
        <w:jc w:val="left"/>
      </w:pPr>
      <w:r>
        <w:drawing>
          <wp:inline distT="0" distB="0" distL="114300" distR="114300">
            <wp:extent cx="5268595" cy="1362075"/>
            <wp:effectExtent l="0" t="0" r="190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5268595" cy="1362075"/>
                    </a:xfrm>
                    <a:prstGeom prst="rect">
                      <a:avLst/>
                    </a:prstGeom>
                    <a:noFill/>
                    <a:ln>
                      <a:noFill/>
                    </a:ln>
                  </pic:spPr>
                </pic:pic>
              </a:graphicData>
            </a:graphic>
          </wp:inline>
        </w:drawing>
      </w:r>
    </w:p>
    <w:p w14:paraId="15991E2C">
      <w:pPr>
        <w:keepNext w:val="0"/>
        <w:keepLines w:val="0"/>
        <w:widowControl/>
        <w:numPr>
          <w:ilvl w:val="0"/>
          <w:numId w:val="0"/>
        </w:numPr>
        <w:suppressLineNumbers w:val="0"/>
        <w:jc w:val="center"/>
        <w:rPr>
          <w:rFonts w:hint="default" w:eastAsiaTheme="minorEastAsia"/>
          <w:lang w:val="en-US" w:eastAsia="zh-CN"/>
        </w:rPr>
      </w:pPr>
      <w:r>
        <w:rPr>
          <w:rFonts w:hint="eastAsia"/>
          <w:lang w:val="en-US" w:eastAsia="zh-CN"/>
        </w:rPr>
        <w:t>劳务发放附件内格式</w:t>
      </w:r>
    </w:p>
    <w:p w14:paraId="5CD6E9E7">
      <w:pPr>
        <w:keepNext w:val="0"/>
        <w:keepLines w:val="0"/>
        <w:widowControl/>
        <w:numPr>
          <w:ilvl w:val="0"/>
          <w:numId w:val="1"/>
        </w:numPr>
        <w:suppressLineNumbers w:val="0"/>
        <w:ind w:left="0" w:leftChars="0" w:firstLine="0" w:firstLineChars="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填单人提交线上审批后，申报单据通过财务处微信公众号推送审批链接至项目负责人</w:t>
      </w:r>
      <w:r>
        <w:rPr>
          <w:rFonts w:hint="eastAsia" w:ascii="宋体" w:hAnsi="宋体" w:eastAsia="宋体" w:cs="宋体"/>
          <w:kern w:val="0"/>
          <w:sz w:val="24"/>
          <w:szCs w:val="24"/>
          <w:lang w:val="en-US" w:eastAsia="zh-CN" w:bidi="ar"/>
        </w:rPr>
        <w:t>（密码为身份证后六位）</w:t>
      </w:r>
      <w:r>
        <w:rPr>
          <w:rFonts w:ascii="宋体" w:hAnsi="宋体" w:eastAsia="宋体" w:cs="宋体"/>
          <w:kern w:val="0"/>
          <w:sz w:val="24"/>
          <w:szCs w:val="24"/>
          <w:lang w:val="en-US" w:eastAsia="zh-CN" w:bidi="ar"/>
        </w:rPr>
        <w:t>，项目负责人可点击链接查看并审批申报单据；也可直接进入“财务处微信公众号-财务平台-审批平台”查看并审批申报单据。</w:t>
      </w:r>
    </w:p>
    <w:p w14:paraId="05FC5287">
      <w:pPr>
        <w:keepNext w:val="0"/>
        <w:keepLines w:val="0"/>
        <w:widowControl/>
        <w:numPr>
          <w:ilvl w:val="0"/>
          <w:numId w:val="0"/>
        </w:numPr>
        <w:suppressLineNumbers w:val="0"/>
        <w:ind w:leftChars="0"/>
        <w:jc w:val="left"/>
      </w:pPr>
      <w:r>
        <w:drawing>
          <wp:inline distT="0" distB="0" distL="114300" distR="114300">
            <wp:extent cx="5266690" cy="2723515"/>
            <wp:effectExtent l="0" t="0" r="381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6690" cy="2723515"/>
                    </a:xfrm>
                    <a:prstGeom prst="rect">
                      <a:avLst/>
                    </a:prstGeom>
                    <a:noFill/>
                    <a:ln>
                      <a:noFill/>
                    </a:ln>
                  </pic:spPr>
                </pic:pic>
              </a:graphicData>
            </a:graphic>
          </wp:inline>
        </w:drawing>
      </w:r>
    </w:p>
    <w:p w14:paraId="1F9AB05D">
      <w:pPr>
        <w:keepNext w:val="0"/>
        <w:keepLines w:val="0"/>
        <w:widowControl/>
        <w:numPr>
          <w:ilvl w:val="0"/>
          <w:numId w:val="0"/>
        </w:numPr>
        <w:suppressLineNumbers w:val="0"/>
        <w:ind w:leftChars="0"/>
        <w:jc w:val="left"/>
        <w:rPr>
          <w:lang w:val="en-US" w:eastAsia="zh-CN"/>
        </w:rPr>
      </w:pPr>
      <w:r>
        <w:drawing>
          <wp:inline distT="0" distB="0" distL="114300" distR="114300">
            <wp:extent cx="5266690" cy="2327275"/>
            <wp:effectExtent l="0" t="0" r="381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66690" cy="2327275"/>
                    </a:xfrm>
                    <a:prstGeom prst="rect">
                      <a:avLst/>
                    </a:prstGeom>
                    <a:noFill/>
                    <a:ln>
                      <a:noFill/>
                    </a:ln>
                  </pic:spPr>
                </pic:pic>
              </a:graphicData>
            </a:graphic>
          </wp:inline>
        </w:drawing>
      </w:r>
    </w:p>
    <w:p w14:paraId="0894227D">
      <w:pPr>
        <w:pStyle w:val="3"/>
        <w:keepNext w:val="0"/>
        <w:keepLines w:val="0"/>
        <w:widowControl/>
        <w:suppressLineNumbers w:val="0"/>
        <w:spacing w:before="0" w:beforeAutospacing="1" w:after="0" w:afterAutospacing="1"/>
        <w:ind w:left="0" w:right="0"/>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（三）项目负责人审批完成后，申报单据自动流转至财务处审核报销岗会计人员，并由会计人员线上审核。</w:t>
      </w:r>
    </w:p>
    <w:p w14:paraId="14659DA9">
      <w:pPr>
        <w:pStyle w:val="3"/>
        <w:keepNext w:val="0"/>
        <w:keepLines w:val="0"/>
        <w:widowControl/>
        <w:suppressLineNumbers w:val="0"/>
        <w:spacing w:before="0" w:beforeAutospacing="1" w:after="0" w:afterAutospacing="1"/>
        <w:ind w:left="0" w:right="0"/>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四）若申报单据审核通过，则由会计人员打印申报单据及附件材料，完成审核报销。若财务审核不通过，则由填单人查看微信公众号推送的退回原因，进入“学生劳务发放管理单”、“校内人员其他工薪收入发放管理单”或“校外人员劳务申报发放管理单”，根据退单原因和报销要求修改申报单或补充材料后按上述程序重新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hnschrift">
    <w:panose1 w:val="020B0502040204020203"/>
    <w:charset w:val="00"/>
    <w:family w:val="swiss"/>
    <w:pitch w:val="default"/>
    <w:sig w:usb0="A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974F0"/>
    <w:multiLevelType w:val="singleLevel"/>
    <w:tmpl w:val="D7D974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47F8B"/>
    <w:rsid w:val="20A67298"/>
    <w:rsid w:val="439B1856"/>
    <w:rsid w:val="4D4C74EB"/>
    <w:rsid w:val="581F01F2"/>
    <w:rsid w:val="614B41C5"/>
    <w:rsid w:val="70F9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470</Words>
  <Characters>470</Characters>
  <Lines>0</Lines>
  <Paragraphs>0</Paragraphs>
  <TotalTime>0</TotalTime>
  <ScaleCrop>false</ScaleCrop>
  <LinksUpToDate>false</LinksUpToDate>
  <CharactersWithSpaces>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2026-03-13T06:16:00Z</dcterms:created>
  <dc:creator>11300</dc:creator>
  <cp:lastModifiedBy>祁舛.</cp:lastModifiedBy>
  <dcterms:modified xsi:type="dcterms:W3CDTF">2026-03-31T00:57:23Z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eyJoZGlkIjoiM2U2N2MzZjc3NDY1Y2VhZjQ4ZjUwNjZiOTA4ZjA0NDkiLCJ1c2VySWQiOiIxMDcwMzU3ODk2In0=</vt:lpwstr>
  </property>
  <property fmtid="{D5CDD505-2E9C-101B-9397-08002B2CF9AE}" pid="4" name="ICV">
    <vt:lpwstr>7BAC5F149BDA4296B54E216EFBE2674E_12</vt:lpwstr>
  </property>
</Properties>
</file>