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C950A" w14:textId="77777777" w:rsidR="001E2803" w:rsidRDefault="001E2803">
      <w:pPr>
        <w:widowControl/>
        <w:ind w:firstLine="964"/>
        <w:jc w:val="center"/>
        <w:rPr>
          <w:rFonts w:ascii="Arial" w:eastAsia="宋体" w:hAnsi="Arial" w:cs="Arial"/>
          <w:b/>
          <w:bCs/>
          <w:kern w:val="0"/>
          <w:sz w:val="48"/>
          <w:szCs w:val="48"/>
          <w:lang w:bidi="ar"/>
        </w:rPr>
      </w:pPr>
    </w:p>
    <w:p w14:paraId="203F663C" w14:textId="77777777" w:rsidR="00046E6A" w:rsidRDefault="00046E6A">
      <w:pPr>
        <w:widowControl/>
        <w:ind w:firstLine="964"/>
        <w:jc w:val="center"/>
        <w:rPr>
          <w:rFonts w:ascii="Arial" w:eastAsia="宋体" w:hAnsi="Arial" w:cs="Arial" w:hint="eastAsia"/>
          <w:b/>
          <w:bCs/>
          <w:kern w:val="0"/>
          <w:sz w:val="48"/>
          <w:szCs w:val="48"/>
          <w:lang w:bidi="ar"/>
        </w:rPr>
      </w:pPr>
    </w:p>
    <w:p w14:paraId="6BEE7D2B" w14:textId="77777777" w:rsidR="001E2803" w:rsidRDefault="00000000">
      <w:pPr>
        <w:widowControl/>
        <w:ind w:firstLine="964"/>
        <w:jc w:val="center"/>
        <w:rPr>
          <w:rFonts w:ascii="方正小标宋简体" w:eastAsia="方正小标宋简体" w:hAnsi="方正小标宋简体" w:cs="方正小标宋简体" w:hint="eastAsia"/>
          <w:b/>
          <w:bCs/>
          <w:kern w:val="0"/>
          <w:sz w:val="48"/>
          <w:szCs w:val="48"/>
          <w:lang w:bidi="ar"/>
        </w:rPr>
      </w:pPr>
      <w:r>
        <w:rPr>
          <w:rFonts w:ascii="方正小标宋简体" w:eastAsia="方正小标宋简体" w:hAnsi="方正小标宋简体" w:cs="方正小标宋简体" w:hint="eastAsia"/>
          <w:b/>
          <w:bCs/>
          <w:kern w:val="0"/>
          <w:sz w:val="48"/>
          <w:szCs w:val="48"/>
          <w:lang w:bidi="ar"/>
        </w:rPr>
        <w:t>贵州大学预算编制手册</w:t>
      </w:r>
    </w:p>
    <w:p w14:paraId="3744C0F9" w14:textId="77777777" w:rsidR="001E2803" w:rsidRDefault="001E2803">
      <w:pPr>
        <w:widowControl/>
        <w:ind w:firstLine="622"/>
        <w:jc w:val="center"/>
        <w:rPr>
          <w:rFonts w:ascii="Arial" w:eastAsia="宋体" w:hAnsi="Arial" w:cs="Arial"/>
          <w:b/>
          <w:bCs/>
          <w:kern w:val="0"/>
          <w:sz w:val="31"/>
          <w:szCs w:val="31"/>
          <w:lang w:bidi="ar"/>
        </w:rPr>
      </w:pPr>
    </w:p>
    <w:p w14:paraId="63ABEF17" w14:textId="77777777" w:rsidR="001E2803" w:rsidRDefault="001E2803">
      <w:pPr>
        <w:widowControl/>
        <w:ind w:firstLine="622"/>
        <w:jc w:val="left"/>
        <w:rPr>
          <w:rFonts w:ascii="Arial" w:eastAsia="宋体" w:hAnsi="Arial" w:cs="Arial"/>
          <w:b/>
          <w:bCs/>
          <w:kern w:val="0"/>
          <w:sz w:val="31"/>
          <w:szCs w:val="31"/>
          <w:lang w:bidi="ar"/>
        </w:rPr>
      </w:pPr>
    </w:p>
    <w:p w14:paraId="56002F01" w14:textId="77777777" w:rsidR="001E2803" w:rsidRDefault="00000000">
      <w:pPr>
        <w:widowControl/>
        <w:ind w:firstLine="622"/>
        <w:jc w:val="left"/>
        <w:rPr>
          <w:rFonts w:ascii="Arial" w:eastAsia="宋体" w:hAnsi="Arial" w:cs="Arial"/>
          <w:b/>
          <w:bCs/>
          <w:kern w:val="0"/>
          <w:sz w:val="31"/>
          <w:szCs w:val="31"/>
          <w:lang w:bidi="ar"/>
        </w:rPr>
      </w:pPr>
      <w:r>
        <w:rPr>
          <w:rFonts w:ascii="Arial" w:eastAsia="宋体" w:hAnsi="Arial" w:cs="Arial" w:hint="eastAsia"/>
          <w:b/>
          <w:bCs/>
          <w:kern w:val="0"/>
          <w:sz w:val="31"/>
          <w:szCs w:val="31"/>
          <w:lang w:bidi="ar"/>
        </w:rPr>
        <w:t xml:space="preserve">                     </w:t>
      </w:r>
    </w:p>
    <w:p w14:paraId="6018178C" w14:textId="77777777" w:rsidR="001E2803" w:rsidRDefault="001E2803">
      <w:pPr>
        <w:widowControl/>
        <w:ind w:firstLine="622"/>
        <w:jc w:val="left"/>
        <w:rPr>
          <w:rFonts w:ascii="Arial" w:eastAsia="宋体" w:hAnsi="Arial" w:cs="Arial"/>
          <w:b/>
          <w:bCs/>
          <w:kern w:val="0"/>
          <w:sz w:val="31"/>
          <w:szCs w:val="31"/>
          <w:lang w:bidi="ar"/>
        </w:rPr>
      </w:pPr>
    </w:p>
    <w:p w14:paraId="174C3C10" w14:textId="77777777" w:rsidR="001E2803" w:rsidRDefault="00000000">
      <w:pPr>
        <w:widowControl/>
        <w:ind w:firstLine="622"/>
        <w:jc w:val="left"/>
        <w:rPr>
          <w:rFonts w:ascii="Arial" w:eastAsia="宋体" w:hAnsi="Arial" w:cs="Arial"/>
          <w:b/>
          <w:bCs/>
          <w:kern w:val="0"/>
          <w:sz w:val="31"/>
          <w:szCs w:val="31"/>
          <w:lang w:bidi="ar"/>
        </w:rPr>
      </w:pPr>
      <w:r>
        <w:rPr>
          <w:rFonts w:ascii="Arial" w:eastAsia="宋体" w:hAnsi="Arial" w:cs="Arial" w:hint="eastAsia"/>
          <w:b/>
          <w:bCs/>
          <w:kern w:val="0"/>
          <w:sz w:val="31"/>
          <w:szCs w:val="31"/>
          <w:lang w:bidi="ar"/>
        </w:rPr>
        <w:t xml:space="preserve">                                            </w:t>
      </w:r>
    </w:p>
    <w:p w14:paraId="62A9025C" w14:textId="77777777" w:rsidR="001E2803" w:rsidRDefault="001E2803">
      <w:pPr>
        <w:widowControl/>
        <w:ind w:firstLine="622"/>
        <w:jc w:val="left"/>
        <w:rPr>
          <w:rFonts w:ascii="Arial" w:eastAsia="宋体" w:hAnsi="Arial" w:cs="Arial"/>
          <w:b/>
          <w:bCs/>
          <w:kern w:val="0"/>
          <w:sz w:val="31"/>
          <w:szCs w:val="31"/>
          <w:lang w:bidi="ar"/>
        </w:rPr>
      </w:pPr>
    </w:p>
    <w:p w14:paraId="08CC6761" w14:textId="77777777" w:rsidR="001E2803" w:rsidRDefault="00000000">
      <w:pPr>
        <w:widowControl/>
        <w:ind w:firstLine="622"/>
        <w:jc w:val="left"/>
        <w:rPr>
          <w:rFonts w:ascii="Arial" w:eastAsia="宋体" w:hAnsi="Arial" w:cs="Arial"/>
          <w:b/>
          <w:bCs/>
          <w:kern w:val="0"/>
          <w:sz w:val="31"/>
          <w:szCs w:val="31"/>
          <w:lang w:bidi="ar"/>
        </w:rPr>
      </w:pPr>
      <w:r>
        <w:rPr>
          <w:rFonts w:ascii="Arial" w:eastAsia="宋体" w:hAnsi="Arial" w:cs="Arial" w:hint="eastAsia"/>
          <w:b/>
          <w:bCs/>
          <w:kern w:val="0"/>
          <w:sz w:val="31"/>
          <w:szCs w:val="31"/>
          <w:lang w:bidi="ar"/>
        </w:rPr>
        <w:t xml:space="preserve">                        </w:t>
      </w:r>
    </w:p>
    <w:p w14:paraId="24A6B38E" w14:textId="77777777" w:rsidR="001E2803" w:rsidRDefault="001E2803">
      <w:pPr>
        <w:widowControl/>
        <w:ind w:firstLine="622"/>
        <w:jc w:val="left"/>
        <w:rPr>
          <w:rFonts w:ascii="Arial" w:eastAsia="宋体" w:hAnsi="Arial" w:cs="Arial"/>
          <w:b/>
          <w:bCs/>
          <w:kern w:val="0"/>
          <w:sz w:val="31"/>
          <w:szCs w:val="31"/>
          <w:lang w:bidi="ar"/>
        </w:rPr>
      </w:pPr>
    </w:p>
    <w:p w14:paraId="2A4314B8" w14:textId="77777777" w:rsidR="001E2803" w:rsidRDefault="00000000">
      <w:pPr>
        <w:widowControl/>
        <w:ind w:firstLine="622"/>
        <w:jc w:val="left"/>
        <w:rPr>
          <w:rFonts w:ascii="Arial" w:eastAsia="宋体" w:hAnsi="Arial" w:cs="Arial"/>
          <w:b/>
          <w:bCs/>
          <w:kern w:val="0"/>
          <w:sz w:val="31"/>
          <w:szCs w:val="31"/>
          <w:lang w:bidi="ar"/>
        </w:rPr>
      </w:pPr>
      <w:r>
        <w:rPr>
          <w:rFonts w:ascii="Arial" w:eastAsia="宋体" w:hAnsi="Arial" w:cs="Arial" w:hint="eastAsia"/>
          <w:b/>
          <w:bCs/>
          <w:kern w:val="0"/>
          <w:sz w:val="31"/>
          <w:szCs w:val="31"/>
          <w:lang w:bidi="ar"/>
        </w:rPr>
        <w:t xml:space="preserve">                                 </w:t>
      </w:r>
    </w:p>
    <w:p w14:paraId="6A7EB148" w14:textId="77777777" w:rsidR="001E2803" w:rsidRDefault="001E2803">
      <w:pPr>
        <w:widowControl/>
        <w:ind w:firstLine="622"/>
        <w:jc w:val="left"/>
        <w:rPr>
          <w:rFonts w:ascii="Arial" w:eastAsia="宋体" w:hAnsi="Arial" w:cs="Arial"/>
          <w:b/>
          <w:bCs/>
          <w:kern w:val="0"/>
          <w:sz w:val="31"/>
          <w:szCs w:val="31"/>
          <w:lang w:bidi="ar"/>
        </w:rPr>
      </w:pPr>
    </w:p>
    <w:p w14:paraId="1963FA37" w14:textId="77777777" w:rsidR="001E2803" w:rsidRDefault="00000000">
      <w:pPr>
        <w:widowControl/>
        <w:ind w:firstLine="620"/>
        <w:jc w:val="center"/>
        <w:rPr>
          <w:rFonts w:ascii="黑体" w:eastAsia="黑体" w:hAnsi="黑体" w:cs="黑体" w:hint="eastAsia"/>
          <w:kern w:val="0"/>
          <w:sz w:val="31"/>
          <w:szCs w:val="31"/>
          <w:lang w:bidi="ar"/>
        </w:rPr>
      </w:pPr>
      <w:r>
        <w:rPr>
          <w:rFonts w:ascii="黑体" w:eastAsia="黑体" w:hAnsi="黑体" w:cs="黑体" w:hint="eastAsia"/>
          <w:kern w:val="0"/>
          <w:sz w:val="31"/>
          <w:szCs w:val="31"/>
          <w:lang w:bidi="ar"/>
        </w:rPr>
        <w:t>贵州大学财务处</w:t>
      </w:r>
    </w:p>
    <w:p w14:paraId="2B82C867" w14:textId="77777777" w:rsidR="001E2803" w:rsidRDefault="00000000">
      <w:pPr>
        <w:widowControl/>
        <w:ind w:firstLine="620"/>
        <w:jc w:val="center"/>
        <w:rPr>
          <w:rFonts w:ascii="Times New Roman" w:eastAsia="黑体" w:hAnsi="Times New Roman" w:cs="Times New Roman"/>
          <w:kern w:val="0"/>
          <w:sz w:val="31"/>
          <w:szCs w:val="31"/>
          <w:lang w:bidi="ar"/>
        </w:rPr>
      </w:pPr>
      <w:r>
        <w:rPr>
          <w:rFonts w:ascii="Times New Roman" w:eastAsia="黑体" w:hAnsi="Times New Roman" w:cs="Times New Roman"/>
          <w:kern w:val="0"/>
          <w:sz w:val="31"/>
          <w:szCs w:val="31"/>
          <w:lang w:bidi="ar"/>
        </w:rPr>
        <w:t>2026</w:t>
      </w:r>
      <w:r>
        <w:rPr>
          <w:rFonts w:ascii="Times New Roman" w:eastAsia="黑体" w:hAnsi="Times New Roman" w:cs="Times New Roman"/>
          <w:kern w:val="0"/>
          <w:sz w:val="31"/>
          <w:szCs w:val="31"/>
          <w:lang w:bidi="ar"/>
        </w:rPr>
        <w:t>年</w:t>
      </w:r>
      <w:r>
        <w:rPr>
          <w:rFonts w:ascii="Times New Roman" w:eastAsia="黑体" w:hAnsi="Times New Roman" w:cs="Times New Roman"/>
          <w:kern w:val="0"/>
          <w:sz w:val="31"/>
          <w:szCs w:val="31"/>
          <w:lang w:bidi="ar"/>
        </w:rPr>
        <w:t>7</w:t>
      </w:r>
      <w:r>
        <w:rPr>
          <w:rFonts w:ascii="Times New Roman" w:eastAsia="黑体" w:hAnsi="Times New Roman" w:cs="Times New Roman"/>
          <w:kern w:val="0"/>
          <w:sz w:val="31"/>
          <w:szCs w:val="31"/>
          <w:lang w:bidi="ar"/>
        </w:rPr>
        <w:t>月</w:t>
      </w:r>
    </w:p>
    <w:p w14:paraId="534EE8A4" w14:textId="77777777" w:rsidR="001E2803" w:rsidRDefault="001E2803">
      <w:pPr>
        <w:widowControl/>
        <w:ind w:firstLine="622"/>
        <w:jc w:val="left"/>
        <w:rPr>
          <w:rFonts w:ascii="Arial" w:eastAsia="宋体" w:hAnsi="Arial" w:cs="Arial"/>
          <w:b/>
          <w:bCs/>
          <w:kern w:val="0"/>
          <w:sz w:val="31"/>
          <w:szCs w:val="31"/>
          <w:lang w:bidi="ar"/>
        </w:rPr>
      </w:pPr>
    </w:p>
    <w:p w14:paraId="153FB186" w14:textId="77777777" w:rsidR="001E2803" w:rsidRDefault="00000000">
      <w:pPr>
        <w:ind w:firstLine="620"/>
        <w:rPr>
          <w:rFonts w:ascii="华文仿宋" w:eastAsia="华文仿宋" w:hAnsi="华文仿宋" w:cs="华文仿宋" w:hint="eastAsia"/>
          <w:kern w:val="0"/>
          <w:sz w:val="31"/>
          <w:szCs w:val="31"/>
          <w:lang w:bidi="ar"/>
        </w:rPr>
      </w:pPr>
      <w:r>
        <w:rPr>
          <w:rFonts w:ascii="华文仿宋" w:eastAsia="华文仿宋" w:hAnsi="华文仿宋" w:cs="华文仿宋"/>
          <w:kern w:val="0"/>
          <w:sz w:val="31"/>
          <w:szCs w:val="31"/>
          <w:lang w:bidi="ar"/>
        </w:rPr>
        <w:br w:type="page"/>
      </w:r>
    </w:p>
    <w:sdt>
      <w:sdtPr>
        <w:rPr>
          <w:rFonts w:ascii="宋体" w:eastAsia="宋体" w:hAnsi="宋体"/>
        </w:rPr>
        <w:id w:val="147454849"/>
        <w15:color w:val="DBDBDB"/>
        <w:docPartObj>
          <w:docPartGallery w:val="Table of Contents"/>
          <w:docPartUnique/>
        </w:docPartObj>
      </w:sdtPr>
      <w:sdtContent>
        <w:p w14:paraId="478A2245" w14:textId="77777777" w:rsidR="001E2803" w:rsidRDefault="00000000">
          <w:pPr>
            <w:spacing w:line="240" w:lineRule="auto"/>
            <w:ind w:firstLineChars="0" w:firstLine="0"/>
            <w:jc w:val="center"/>
          </w:pPr>
          <w:r>
            <w:rPr>
              <w:rFonts w:ascii="黑体" w:eastAsia="黑体" w:hAnsi="黑体" w:cs="黑体" w:hint="eastAsia"/>
              <w:sz w:val="22"/>
              <w:szCs w:val="28"/>
            </w:rPr>
            <w:t>目  录</w:t>
          </w:r>
        </w:p>
        <w:p w14:paraId="19517A93" w14:textId="77777777" w:rsidR="001E2803" w:rsidRDefault="00000000">
          <w:pPr>
            <w:pStyle w:val="TOC1"/>
            <w:tabs>
              <w:tab w:val="right" w:leader="dot" w:pos="8306"/>
            </w:tabs>
            <w:spacing w:line="400" w:lineRule="exact"/>
            <w:ind w:firstLine="420"/>
          </w:pPr>
          <w:r>
            <w:fldChar w:fldCharType="begin"/>
          </w:r>
          <w:r>
            <w:instrText xml:space="preserve">TOC \o "1-2" \h \u </w:instrText>
          </w:r>
          <w:r>
            <w:fldChar w:fldCharType="separate"/>
          </w:r>
          <w:hyperlink w:anchor="_Toc21217" w:history="1">
            <w:r>
              <w:rPr>
                <w:rFonts w:hint="eastAsia"/>
              </w:rPr>
              <w:t>第一章</w:t>
            </w:r>
            <w:r>
              <w:rPr>
                <w:rFonts w:hint="eastAsia"/>
              </w:rPr>
              <w:t xml:space="preserve">  </w:t>
            </w:r>
            <w:r>
              <w:rPr>
                <w:rFonts w:hint="eastAsia"/>
              </w:rPr>
              <w:t>总则</w:t>
            </w:r>
            <w:r>
              <w:tab/>
            </w:r>
            <w:r>
              <w:fldChar w:fldCharType="begin"/>
            </w:r>
            <w:r>
              <w:instrText xml:space="preserve"> PAGEREF _Toc21217 \h </w:instrText>
            </w:r>
            <w:r>
              <w:fldChar w:fldCharType="separate"/>
            </w:r>
            <w:r>
              <w:t>3</w:t>
            </w:r>
            <w:r>
              <w:fldChar w:fldCharType="end"/>
            </w:r>
          </w:hyperlink>
        </w:p>
        <w:p w14:paraId="65D81425" w14:textId="77777777" w:rsidR="001E2803" w:rsidRDefault="00000000">
          <w:pPr>
            <w:pStyle w:val="TOC2"/>
            <w:tabs>
              <w:tab w:val="right" w:leader="dot" w:pos="8306"/>
            </w:tabs>
            <w:spacing w:line="400" w:lineRule="exact"/>
            <w:ind w:firstLine="420"/>
          </w:pPr>
          <w:hyperlink w:anchor="_Toc32507" w:history="1">
            <w:r>
              <w:rPr>
                <w:rFonts w:hint="eastAsia"/>
              </w:rPr>
              <w:t xml:space="preserve">1.1 </w:t>
            </w:r>
            <w:r>
              <w:rPr>
                <w:rFonts w:hint="eastAsia"/>
              </w:rPr>
              <w:t>编制目的</w:t>
            </w:r>
            <w:r>
              <w:tab/>
            </w:r>
            <w:r>
              <w:fldChar w:fldCharType="begin"/>
            </w:r>
            <w:r>
              <w:instrText xml:space="preserve"> PAGEREF _Toc32507 \h </w:instrText>
            </w:r>
            <w:r>
              <w:fldChar w:fldCharType="separate"/>
            </w:r>
            <w:r>
              <w:t>3</w:t>
            </w:r>
            <w:r>
              <w:fldChar w:fldCharType="end"/>
            </w:r>
          </w:hyperlink>
        </w:p>
        <w:p w14:paraId="2D89B8DE" w14:textId="77777777" w:rsidR="001E2803" w:rsidRDefault="00000000">
          <w:pPr>
            <w:pStyle w:val="TOC2"/>
            <w:tabs>
              <w:tab w:val="right" w:leader="dot" w:pos="8306"/>
            </w:tabs>
            <w:spacing w:line="400" w:lineRule="exact"/>
            <w:ind w:firstLine="420"/>
          </w:pPr>
          <w:hyperlink w:anchor="_Toc29767" w:history="1">
            <w:r>
              <w:rPr>
                <w:rFonts w:hint="eastAsia"/>
              </w:rPr>
              <w:t xml:space="preserve">1.2 </w:t>
            </w:r>
            <w:r>
              <w:rPr>
                <w:rFonts w:hint="eastAsia"/>
              </w:rPr>
              <w:t>适用范围</w:t>
            </w:r>
            <w:r>
              <w:tab/>
            </w:r>
            <w:r>
              <w:fldChar w:fldCharType="begin"/>
            </w:r>
            <w:r>
              <w:instrText xml:space="preserve"> PAGEREF _Toc29767 \h </w:instrText>
            </w:r>
            <w:r>
              <w:fldChar w:fldCharType="separate"/>
            </w:r>
            <w:r>
              <w:t>3</w:t>
            </w:r>
            <w:r>
              <w:fldChar w:fldCharType="end"/>
            </w:r>
          </w:hyperlink>
        </w:p>
        <w:p w14:paraId="1785E5EE" w14:textId="77777777" w:rsidR="001E2803" w:rsidRDefault="00000000">
          <w:pPr>
            <w:pStyle w:val="TOC1"/>
            <w:tabs>
              <w:tab w:val="right" w:leader="dot" w:pos="8306"/>
            </w:tabs>
            <w:spacing w:line="400" w:lineRule="exact"/>
            <w:ind w:firstLine="420"/>
          </w:pPr>
          <w:hyperlink w:anchor="_Toc28042" w:history="1">
            <w:r>
              <w:rPr>
                <w:rFonts w:hint="eastAsia"/>
              </w:rPr>
              <w:t>第二章</w:t>
            </w:r>
            <w:r>
              <w:rPr>
                <w:rFonts w:hint="eastAsia"/>
              </w:rPr>
              <w:t xml:space="preserve"> </w:t>
            </w:r>
            <w:r>
              <w:rPr>
                <w:rFonts w:hint="eastAsia"/>
              </w:rPr>
              <w:t>预算编制工作要求</w:t>
            </w:r>
            <w:r>
              <w:tab/>
            </w:r>
            <w:r>
              <w:fldChar w:fldCharType="begin"/>
            </w:r>
            <w:r>
              <w:instrText xml:space="preserve"> PAGEREF _Toc28042 \h </w:instrText>
            </w:r>
            <w:r>
              <w:fldChar w:fldCharType="separate"/>
            </w:r>
            <w:r>
              <w:t>3</w:t>
            </w:r>
            <w:r>
              <w:fldChar w:fldCharType="end"/>
            </w:r>
          </w:hyperlink>
        </w:p>
        <w:p w14:paraId="06D2A7AB" w14:textId="77777777" w:rsidR="001E2803" w:rsidRDefault="00000000">
          <w:pPr>
            <w:pStyle w:val="TOC2"/>
            <w:tabs>
              <w:tab w:val="right" w:leader="dot" w:pos="8306"/>
            </w:tabs>
            <w:spacing w:line="400" w:lineRule="exact"/>
            <w:ind w:firstLine="420"/>
          </w:pPr>
          <w:hyperlink w:anchor="_Toc25727" w:history="1">
            <w:r>
              <w:rPr>
                <w:rFonts w:hint="eastAsia"/>
              </w:rPr>
              <w:t>2.1</w:t>
            </w:r>
            <w:r>
              <w:rPr>
                <w:rFonts w:hint="eastAsia"/>
              </w:rPr>
              <w:t>高度重视，确保预算编制工作高质量完成。</w:t>
            </w:r>
            <w:r>
              <w:tab/>
            </w:r>
            <w:r>
              <w:fldChar w:fldCharType="begin"/>
            </w:r>
            <w:r>
              <w:instrText xml:space="preserve"> PAGEREF _Toc25727 \h </w:instrText>
            </w:r>
            <w:r>
              <w:fldChar w:fldCharType="separate"/>
            </w:r>
            <w:r>
              <w:t>3</w:t>
            </w:r>
            <w:r>
              <w:fldChar w:fldCharType="end"/>
            </w:r>
          </w:hyperlink>
        </w:p>
        <w:p w14:paraId="5A76F42E" w14:textId="77777777" w:rsidR="001E2803" w:rsidRDefault="00000000">
          <w:pPr>
            <w:pStyle w:val="TOC2"/>
            <w:tabs>
              <w:tab w:val="right" w:leader="dot" w:pos="8306"/>
            </w:tabs>
            <w:spacing w:line="400" w:lineRule="exact"/>
            <w:ind w:firstLine="420"/>
          </w:pPr>
          <w:hyperlink w:anchor="_Toc19667" w:history="1">
            <w:r>
              <w:rPr>
                <w:rFonts w:hint="eastAsia"/>
              </w:rPr>
              <w:t>2.2</w:t>
            </w:r>
            <w:r>
              <w:rPr>
                <w:rFonts w:hint="eastAsia"/>
              </w:rPr>
              <w:t>精准编制，确保经济分类科目规范准确。</w:t>
            </w:r>
            <w:r>
              <w:tab/>
            </w:r>
            <w:r>
              <w:fldChar w:fldCharType="begin"/>
            </w:r>
            <w:r>
              <w:instrText xml:space="preserve"> PAGEREF _Toc19667 \h </w:instrText>
            </w:r>
            <w:r>
              <w:fldChar w:fldCharType="separate"/>
            </w:r>
            <w:r>
              <w:t>4</w:t>
            </w:r>
            <w:r>
              <w:fldChar w:fldCharType="end"/>
            </w:r>
          </w:hyperlink>
        </w:p>
        <w:p w14:paraId="2082773B" w14:textId="77777777" w:rsidR="001E2803" w:rsidRDefault="00000000">
          <w:pPr>
            <w:pStyle w:val="TOC2"/>
            <w:tabs>
              <w:tab w:val="right" w:leader="dot" w:pos="8306"/>
            </w:tabs>
            <w:spacing w:line="400" w:lineRule="exact"/>
            <w:ind w:firstLine="420"/>
          </w:pPr>
          <w:hyperlink w:anchor="_Toc3052" w:history="1">
            <w:r>
              <w:rPr>
                <w:rFonts w:hint="eastAsia"/>
              </w:rPr>
              <w:t>2.3</w:t>
            </w:r>
            <w:r>
              <w:rPr>
                <w:rFonts w:hint="eastAsia"/>
              </w:rPr>
              <w:t>全面梳理，确保政府采购预算完整合规。</w:t>
            </w:r>
            <w:r>
              <w:tab/>
            </w:r>
            <w:r>
              <w:fldChar w:fldCharType="begin"/>
            </w:r>
            <w:r>
              <w:instrText xml:space="preserve"> PAGEREF _Toc3052 \h </w:instrText>
            </w:r>
            <w:r>
              <w:fldChar w:fldCharType="separate"/>
            </w:r>
            <w:r>
              <w:t>4</w:t>
            </w:r>
            <w:r>
              <w:fldChar w:fldCharType="end"/>
            </w:r>
          </w:hyperlink>
        </w:p>
        <w:p w14:paraId="4824E933" w14:textId="77777777" w:rsidR="001E2803" w:rsidRDefault="00000000">
          <w:pPr>
            <w:pStyle w:val="TOC1"/>
            <w:tabs>
              <w:tab w:val="right" w:leader="dot" w:pos="8306"/>
            </w:tabs>
            <w:spacing w:line="400" w:lineRule="exact"/>
            <w:ind w:firstLine="420"/>
          </w:pPr>
          <w:hyperlink w:anchor="_Toc1879" w:history="1">
            <w:r>
              <w:rPr>
                <w:rFonts w:hint="eastAsia"/>
              </w:rPr>
              <w:t>第三章</w:t>
            </w:r>
            <w:r>
              <w:rPr>
                <w:rFonts w:hint="eastAsia"/>
              </w:rPr>
              <w:t xml:space="preserve"> </w:t>
            </w:r>
            <w:r>
              <w:rPr>
                <w:rFonts w:hint="eastAsia"/>
              </w:rPr>
              <w:t>预算编制申报系统</w:t>
            </w:r>
            <w:r>
              <w:tab/>
            </w:r>
            <w:r>
              <w:fldChar w:fldCharType="begin"/>
            </w:r>
            <w:r>
              <w:instrText xml:space="preserve"> PAGEREF _Toc1879 \h </w:instrText>
            </w:r>
            <w:r>
              <w:fldChar w:fldCharType="separate"/>
            </w:r>
            <w:r>
              <w:t>4</w:t>
            </w:r>
            <w:r>
              <w:fldChar w:fldCharType="end"/>
            </w:r>
          </w:hyperlink>
        </w:p>
        <w:p w14:paraId="4B133067" w14:textId="77777777" w:rsidR="001E2803" w:rsidRDefault="00000000">
          <w:pPr>
            <w:pStyle w:val="TOC2"/>
            <w:tabs>
              <w:tab w:val="right" w:leader="dot" w:pos="8306"/>
            </w:tabs>
            <w:spacing w:line="400" w:lineRule="exact"/>
            <w:ind w:firstLine="420"/>
          </w:pPr>
          <w:hyperlink w:anchor="_Toc18468" w:history="1">
            <w:r>
              <w:rPr>
                <w:rFonts w:hint="eastAsia"/>
              </w:rPr>
              <w:t xml:space="preserve">3.1 </w:t>
            </w:r>
            <w:r>
              <w:rPr>
                <w:rFonts w:hint="eastAsia"/>
              </w:rPr>
              <w:t>系统网址</w:t>
            </w:r>
            <w:r>
              <w:tab/>
            </w:r>
            <w:r>
              <w:fldChar w:fldCharType="begin"/>
            </w:r>
            <w:r>
              <w:instrText xml:space="preserve"> PAGEREF _Toc18468 \h </w:instrText>
            </w:r>
            <w:r>
              <w:fldChar w:fldCharType="separate"/>
            </w:r>
            <w:r>
              <w:t>4</w:t>
            </w:r>
            <w:r>
              <w:fldChar w:fldCharType="end"/>
            </w:r>
          </w:hyperlink>
        </w:p>
        <w:p w14:paraId="3A34C851" w14:textId="77777777" w:rsidR="001E2803" w:rsidRDefault="00000000">
          <w:pPr>
            <w:pStyle w:val="TOC2"/>
            <w:tabs>
              <w:tab w:val="right" w:leader="dot" w:pos="8306"/>
            </w:tabs>
            <w:spacing w:line="400" w:lineRule="exact"/>
            <w:ind w:firstLine="420"/>
          </w:pPr>
          <w:hyperlink w:anchor="_Toc5375" w:history="1">
            <w:r>
              <w:rPr>
                <w:rFonts w:hint="eastAsia"/>
              </w:rPr>
              <w:t xml:space="preserve">3.2 </w:t>
            </w:r>
            <w:r>
              <w:rPr>
                <w:rFonts w:hint="eastAsia"/>
              </w:rPr>
              <w:t>系统操作基本流程</w:t>
            </w:r>
            <w:r>
              <w:tab/>
            </w:r>
            <w:r>
              <w:fldChar w:fldCharType="begin"/>
            </w:r>
            <w:r>
              <w:instrText xml:space="preserve"> PAGEREF _Toc5375 \h </w:instrText>
            </w:r>
            <w:r>
              <w:fldChar w:fldCharType="separate"/>
            </w:r>
            <w:r>
              <w:t>5</w:t>
            </w:r>
            <w:r>
              <w:fldChar w:fldCharType="end"/>
            </w:r>
          </w:hyperlink>
        </w:p>
        <w:p w14:paraId="15F5B0A8" w14:textId="77777777" w:rsidR="001E2803" w:rsidRDefault="00000000">
          <w:pPr>
            <w:pStyle w:val="TOC1"/>
            <w:tabs>
              <w:tab w:val="right" w:leader="dot" w:pos="8306"/>
            </w:tabs>
            <w:spacing w:line="400" w:lineRule="exact"/>
            <w:ind w:firstLine="420"/>
          </w:pPr>
          <w:hyperlink w:anchor="_Toc18266" w:history="1">
            <w:r>
              <w:rPr>
                <w:rFonts w:hint="eastAsia"/>
              </w:rPr>
              <w:t>第四章</w:t>
            </w:r>
            <w:r>
              <w:rPr>
                <w:rFonts w:hint="eastAsia"/>
              </w:rPr>
              <w:t xml:space="preserve"> </w:t>
            </w:r>
            <w:r>
              <w:rPr>
                <w:rFonts w:hint="eastAsia"/>
              </w:rPr>
              <w:t>预算构成</w:t>
            </w:r>
            <w:r>
              <w:tab/>
            </w:r>
            <w:r>
              <w:fldChar w:fldCharType="begin"/>
            </w:r>
            <w:r>
              <w:instrText xml:space="preserve"> PAGEREF _Toc18266 \h </w:instrText>
            </w:r>
            <w:r>
              <w:fldChar w:fldCharType="separate"/>
            </w:r>
            <w:r>
              <w:t>6</w:t>
            </w:r>
            <w:r>
              <w:fldChar w:fldCharType="end"/>
            </w:r>
          </w:hyperlink>
        </w:p>
        <w:p w14:paraId="0D86DFB9" w14:textId="77777777" w:rsidR="001E2803" w:rsidRDefault="00000000">
          <w:pPr>
            <w:pStyle w:val="TOC2"/>
            <w:tabs>
              <w:tab w:val="right" w:leader="dot" w:pos="8306"/>
            </w:tabs>
            <w:spacing w:line="400" w:lineRule="exact"/>
            <w:ind w:firstLine="420"/>
          </w:pPr>
          <w:hyperlink w:anchor="_Toc20858" w:history="1">
            <w:r>
              <w:rPr>
                <w:rFonts w:hint="eastAsia"/>
              </w:rPr>
              <w:t>4.1</w:t>
            </w:r>
            <w:r>
              <w:t>基本支出预算</w:t>
            </w:r>
            <w:r>
              <w:tab/>
            </w:r>
            <w:r>
              <w:fldChar w:fldCharType="begin"/>
            </w:r>
            <w:r>
              <w:instrText xml:space="preserve"> PAGEREF _Toc20858 \h </w:instrText>
            </w:r>
            <w:r>
              <w:fldChar w:fldCharType="separate"/>
            </w:r>
            <w:r>
              <w:t>6</w:t>
            </w:r>
            <w:r>
              <w:fldChar w:fldCharType="end"/>
            </w:r>
          </w:hyperlink>
        </w:p>
        <w:p w14:paraId="0A4162A6" w14:textId="77777777" w:rsidR="001E2803" w:rsidRDefault="00000000">
          <w:pPr>
            <w:pStyle w:val="TOC2"/>
            <w:tabs>
              <w:tab w:val="right" w:leader="dot" w:pos="8306"/>
            </w:tabs>
            <w:spacing w:line="400" w:lineRule="exact"/>
            <w:ind w:firstLine="420"/>
          </w:pPr>
          <w:hyperlink w:anchor="_Toc19382" w:history="1">
            <w:r>
              <w:rPr>
                <w:rFonts w:hint="eastAsia"/>
              </w:rPr>
              <w:t>4.2</w:t>
            </w:r>
            <w:r>
              <w:t>项目支出预算</w:t>
            </w:r>
            <w:r>
              <w:tab/>
            </w:r>
            <w:r>
              <w:fldChar w:fldCharType="begin"/>
            </w:r>
            <w:r>
              <w:instrText xml:space="preserve"> PAGEREF _Toc19382 \h </w:instrText>
            </w:r>
            <w:r>
              <w:fldChar w:fldCharType="separate"/>
            </w:r>
            <w:r>
              <w:t>7</w:t>
            </w:r>
            <w:r>
              <w:fldChar w:fldCharType="end"/>
            </w:r>
          </w:hyperlink>
        </w:p>
        <w:p w14:paraId="097234C1" w14:textId="77777777" w:rsidR="001E2803" w:rsidRDefault="00000000">
          <w:pPr>
            <w:pStyle w:val="TOC1"/>
            <w:tabs>
              <w:tab w:val="right" w:leader="dot" w:pos="8306"/>
            </w:tabs>
            <w:spacing w:line="400" w:lineRule="exact"/>
            <w:ind w:firstLine="420"/>
          </w:pPr>
          <w:hyperlink w:anchor="_Toc24220" w:history="1">
            <w:r>
              <w:rPr>
                <w:rFonts w:hint="eastAsia"/>
              </w:rPr>
              <w:t>第五章</w:t>
            </w:r>
            <w:r>
              <w:rPr>
                <w:rFonts w:hint="eastAsia"/>
              </w:rPr>
              <w:t xml:space="preserve"> </w:t>
            </w:r>
            <w:r>
              <w:rPr>
                <w:rFonts w:hint="eastAsia"/>
              </w:rPr>
              <w:t>预算项目编制（项目入库）</w:t>
            </w:r>
            <w:r>
              <w:tab/>
            </w:r>
            <w:r>
              <w:fldChar w:fldCharType="begin"/>
            </w:r>
            <w:r>
              <w:instrText xml:space="preserve"> PAGEREF _Toc24220 \h </w:instrText>
            </w:r>
            <w:r>
              <w:fldChar w:fldCharType="separate"/>
            </w:r>
            <w:r>
              <w:t>7</w:t>
            </w:r>
            <w:r>
              <w:fldChar w:fldCharType="end"/>
            </w:r>
          </w:hyperlink>
        </w:p>
        <w:p w14:paraId="7D5E774C" w14:textId="77777777" w:rsidR="001E2803" w:rsidRDefault="00000000">
          <w:pPr>
            <w:pStyle w:val="TOC2"/>
            <w:tabs>
              <w:tab w:val="right" w:leader="dot" w:pos="8306"/>
            </w:tabs>
            <w:spacing w:line="400" w:lineRule="exact"/>
            <w:ind w:firstLine="420"/>
          </w:pPr>
          <w:hyperlink w:anchor="_Toc32455" w:history="1">
            <w:r>
              <w:rPr>
                <w:rFonts w:hint="eastAsia"/>
              </w:rPr>
              <w:t>5.1</w:t>
            </w:r>
            <w:r>
              <w:rPr>
                <w:rFonts w:hint="eastAsia"/>
              </w:rPr>
              <w:t>基本信息</w:t>
            </w:r>
            <w:r>
              <w:tab/>
            </w:r>
            <w:r>
              <w:fldChar w:fldCharType="begin"/>
            </w:r>
            <w:r>
              <w:instrText xml:space="preserve"> PAGEREF _Toc32455 \h </w:instrText>
            </w:r>
            <w:r>
              <w:fldChar w:fldCharType="separate"/>
            </w:r>
            <w:r>
              <w:t>7</w:t>
            </w:r>
            <w:r>
              <w:fldChar w:fldCharType="end"/>
            </w:r>
          </w:hyperlink>
        </w:p>
        <w:p w14:paraId="2C139EBD" w14:textId="77777777" w:rsidR="001E2803" w:rsidRDefault="00000000">
          <w:pPr>
            <w:pStyle w:val="TOC2"/>
            <w:tabs>
              <w:tab w:val="right" w:leader="dot" w:pos="8306"/>
            </w:tabs>
            <w:spacing w:line="400" w:lineRule="exact"/>
            <w:ind w:firstLine="420"/>
          </w:pPr>
          <w:hyperlink w:anchor="_Toc15009" w:history="1">
            <w:r>
              <w:rPr>
                <w:rFonts w:hint="eastAsia"/>
              </w:rPr>
              <w:t xml:space="preserve">5.2 </w:t>
            </w:r>
            <w:r>
              <w:rPr>
                <w:rFonts w:hint="eastAsia"/>
              </w:rPr>
              <w:t>申请依据</w:t>
            </w:r>
            <w:r>
              <w:tab/>
            </w:r>
            <w:r>
              <w:fldChar w:fldCharType="begin"/>
            </w:r>
            <w:r>
              <w:instrText xml:space="preserve"> PAGEREF _Toc15009 \h </w:instrText>
            </w:r>
            <w:r>
              <w:fldChar w:fldCharType="separate"/>
            </w:r>
            <w:r>
              <w:t>7</w:t>
            </w:r>
            <w:r>
              <w:fldChar w:fldCharType="end"/>
            </w:r>
          </w:hyperlink>
        </w:p>
        <w:p w14:paraId="07BD8384" w14:textId="77777777" w:rsidR="001E2803" w:rsidRDefault="00000000">
          <w:pPr>
            <w:pStyle w:val="TOC2"/>
            <w:tabs>
              <w:tab w:val="right" w:leader="dot" w:pos="8306"/>
            </w:tabs>
            <w:spacing w:line="400" w:lineRule="exact"/>
            <w:ind w:firstLine="420"/>
          </w:pPr>
          <w:hyperlink w:anchor="_Toc32055" w:history="1">
            <w:r>
              <w:rPr>
                <w:rFonts w:hint="eastAsia"/>
              </w:rPr>
              <w:t xml:space="preserve">5.3 </w:t>
            </w:r>
            <w:r>
              <w:rPr>
                <w:rFonts w:hint="eastAsia"/>
              </w:rPr>
              <w:t>项目测算</w:t>
            </w:r>
            <w:r>
              <w:tab/>
            </w:r>
            <w:r>
              <w:fldChar w:fldCharType="begin"/>
            </w:r>
            <w:r>
              <w:instrText xml:space="preserve"> PAGEREF _Toc32055 \h </w:instrText>
            </w:r>
            <w:r>
              <w:fldChar w:fldCharType="separate"/>
            </w:r>
            <w:r>
              <w:t>8</w:t>
            </w:r>
            <w:r>
              <w:fldChar w:fldCharType="end"/>
            </w:r>
          </w:hyperlink>
        </w:p>
        <w:p w14:paraId="0C6B240A" w14:textId="77777777" w:rsidR="001E2803" w:rsidRDefault="00000000">
          <w:pPr>
            <w:pStyle w:val="TOC2"/>
            <w:tabs>
              <w:tab w:val="right" w:leader="dot" w:pos="8306"/>
            </w:tabs>
            <w:spacing w:line="400" w:lineRule="exact"/>
            <w:ind w:firstLine="420"/>
          </w:pPr>
          <w:hyperlink w:anchor="_Toc12662" w:history="1">
            <w:r>
              <w:rPr>
                <w:rFonts w:hint="eastAsia"/>
              </w:rPr>
              <w:t xml:space="preserve">5.4 </w:t>
            </w:r>
            <w:r>
              <w:rPr>
                <w:rFonts w:hint="eastAsia"/>
              </w:rPr>
              <w:t>资产配置</w:t>
            </w:r>
            <w:r>
              <w:tab/>
            </w:r>
            <w:r>
              <w:fldChar w:fldCharType="begin"/>
            </w:r>
            <w:r>
              <w:instrText xml:space="preserve"> PAGEREF _Toc12662 \h </w:instrText>
            </w:r>
            <w:r>
              <w:fldChar w:fldCharType="separate"/>
            </w:r>
            <w:r>
              <w:t>9</w:t>
            </w:r>
            <w:r>
              <w:fldChar w:fldCharType="end"/>
            </w:r>
          </w:hyperlink>
        </w:p>
        <w:p w14:paraId="0552593F" w14:textId="77777777" w:rsidR="001E2803" w:rsidRDefault="00000000">
          <w:pPr>
            <w:pStyle w:val="TOC2"/>
            <w:tabs>
              <w:tab w:val="right" w:leader="dot" w:pos="8306"/>
            </w:tabs>
            <w:spacing w:line="400" w:lineRule="exact"/>
            <w:ind w:firstLine="420"/>
          </w:pPr>
          <w:hyperlink w:anchor="_Toc17766" w:history="1">
            <w:r>
              <w:rPr>
                <w:rFonts w:hint="eastAsia"/>
              </w:rPr>
              <w:t xml:space="preserve">5.5 </w:t>
            </w:r>
            <w:r>
              <w:rPr>
                <w:rFonts w:hint="eastAsia"/>
              </w:rPr>
              <w:t>绩效目标</w:t>
            </w:r>
            <w:r>
              <w:tab/>
            </w:r>
            <w:r>
              <w:fldChar w:fldCharType="begin"/>
            </w:r>
            <w:r>
              <w:instrText xml:space="preserve"> PAGEREF _Toc17766 \h </w:instrText>
            </w:r>
            <w:r>
              <w:fldChar w:fldCharType="separate"/>
            </w:r>
            <w:r>
              <w:t>9</w:t>
            </w:r>
            <w:r>
              <w:fldChar w:fldCharType="end"/>
            </w:r>
          </w:hyperlink>
        </w:p>
        <w:p w14:paraId="43366F8C" w14:textId="77777777" w:rsidR="001E2803" w:rsidRDefault="00000000">
          <w:pPr>
            <w:pStyle w:val="TOC2"/>
            <w:tabs>
              <w:tab w:val="right" w:leader="dot" w:pos="8306"/>
            </w:tabs>
            <w:spacing w:line="400" w:lineRule="exact"/>
            <w:ind w:firstLine="420"/>
          </w:pPr>
          <w:hyperlink w:anchor="_Toc18817" w:history="1">
            <w:r>
              <w:rPr>
                <w:rFonts w:hint="eastAsia"/>
              </w:rPr>
              <w:t xml:space="preserve">5.6 </w:t>
            </w:r>
            <w:r>
              <w:rPr>
                <w:rFonts w:hint="eastAsia"/>
              </w:rPr>
              <w:t>项目附件</w:t>
            </w:r>
            <w:r>
              <w:tab/>
            </w:r>
            <w:r>
              <w:fldChar w:fldCharType="begin"/>
            </w:r>
            <w:r>
              <w:instrText xml:space="preserve"> PAGEREF _Toc18817 \h </w:instrText>
            </w:r>
            <w:r>
              <w:fldChar w:fldCharType="separate"/>
            </w:r>
            <w:r>
              <w:t>10</w:t>
            </w:r>
            <w:r>
              <w:fldChar w:fldCharType="end"/>
            </w:r>
          </w:hyperlink>
        </w:p>
        <w:p w14:paraId="1A622767" w14:textId="77777777" w:rsidR="001E2803" w:rsidRDefault="00000000">
          <w:pPr>
            <w:pStyle w:val="TOC1"/>
            <w:tabs>
              <w:tab w:val="right" w:leader="dot" w:pos="8306"/>
            </w:tabs>
            <w:spacing w:line="400" w:lineRule="exact"/>
            <w:ind w:firstLine="420"/>
          </w:pPr>
          <w:hyperlink w:anchor="_Toc18330" w:history="1">
            <w:r>
              <w:rPr>
                <w:rFonts w:hint="eastAsia"/>
              </w:rPr>
              <w:t>第六章</w:t>
            </w:r>
            <w:r>
              <w:rPr>
                <w:rFonts w:hint="eastAsia"/>
              </w:rPr>
              <w:t xml:space="preserve"> </w:t>
            </w:r>
            <w:r>
              <w:rPr>
                <w:rFonts w:hint="eastAsia"/>
              </w:rPr>
              <w:t>预算编制申报</w:t>
            </w:r>
            <w:r>
              <w:tab/>
            </w:r>
            <w:r>
              <w:fldChar w:fldCharType="begin"/>
            </w:r>
            <w:r>
              <w:instrText xml:space="preserve"> PAGEREF _Toc18330 \h </w:instrText>
            </w:r>
            <w:r>
              <w:fldChar w:fldCharType="separate"/>
            </w:r>
            <w:r>
              <w:t>10</w:t>
            </w:r>
            <w:r>
              <w:fldChar w:fldCharType="end"/>
            </w:r>
          </w:hyperlink>
        </w:p>
        <w:p w14:paraId="428E5037" w14:textId="77777777" w:rsidR="001E2803" w:rsidRDefault="00000000">
          <w:pPr>
            <w:pStyle w:val="TOC2"/>
            <w:tabs>
              <w:tab w:val="right" w:leader="dot" w:pos="8306"/>
            </w:tabs>
            <w:spacing w:line="400" w:lineRule="exact"/>
            <w:ind w:firstLine="420"/>
          </w:pPr>
          <w:hyperlink w:anchor="_Toc3971" w:history="1">
            <w:r>
              <w:rPr>
                <w:rFonts w:hint="eastAsia"/>
              </w:rPr>
              <w:t xml:space="preserve">6.1 </w:t>
            </w:r>
            <w:r>
              <w:rPr>
                <w:rFonts w:hint="eastAsia"/>
              </w:rPr>
              <w:t>基本预算</w:t>
            </w:r>
            <w:r>
              <w:tab/>
            </w:r>
            <w:r>
              <w:fldChar w:fldCharType="begin"/>
            </w:r>
            <w:r>
              <w:instrText xml:space="preserve"> PAGEREF _Toc3971 \h </w:instrText>
            </w:r>
            <w:r>
              <w:fldChar w:fldCharType="separate"/>
            </w:r>
            <w:r>
              <w:t>10</w:t>
            </w:r>
            <w:r>
              <w:fldChar w:fldCharType="end"/>
            </w:r>
          </w:hyperlink>
        </w:p>
        <w:p w14:paraId="68A837DA" w14:textId="77777777" w:rsidR="001E2803" w:rsidRDefault="00000000">
          <w:pPr>
            <w:pStyle w:val="TOC2"/>
            <w:tabs>
              <w:tab w:val="right" w:leader="dot" w:pos="8306"/>
            </w:tabs>
            <w:spacing w:line="400" w:lineRule="exact"/>
            <w:ind w:firstLine="420"/>
          </w:pPr>
          <w:hyperlink w:anchor="_Toc3294" w:history="1">
            <w:r>
              <w:rPr>
                <w:rFonts w:hint="eastAsia"/>
              </w:rPr>
              <w:t xml:space="preserve">6.2 </w:t>
            </w:r>
            <w:r>
              <w:rPr>
                <w:rFonts w:hint="eastAsia"/>
              </w:rPr>
              <w:t>项目预算</w:t>
            </w:r>
            <w:r>
              <w:tab/>
            </w:r>
            <w:r>
              <w:fldChar w:fldCharType="begin"/>
            </w:r>
            <w:r>
              <w:instrText xml:space="preserve"> PAGEREF _Toc3294 \h </w:instrText>
            </w:r>
            <w:r>
              <w:fldChar w:fldCharType="separate"/>
            </w:r>
            <w:r>
              <w:t>12</w:t>
            </w:r>
            <w:r>
              <w:fldChar w:fldCharType="end"/>
            </w:r>
          </w:hyperlink>
        </w:p>
        <w:p w14:paraId="1873994A" w14:textId="77777777" w:rsidR="001E2803" w:rsidRDefault="00000000">
          <w:pPr>
            <w:pStyle w:val="TOC1"/>
            <w:tabs>
              <w:tab w:val="right" w:leader="dot" w:pos="8306"/>
            </w:tabs>
            <w:spacing w:line="400" w:lineRule="exact"/>
            <w:ind w:firstLine="420"/>
          </w:pPr>
          <w:hyperlink w:anchor="_Toc632" w:history="1">
            <w:r>
              <w:rPr>
                <w:rFonts w:hint="eastAsia"/>
              </w:rPr>
              <w:t>第七章</w:t>
            </w:r>
            <w:r>
              <w:rPr>
                <w:rFonts w:hint="eastAsia"/>
              </w:rPr>
              <w:t xml:space="preserve"> </w:t>
            </w:r>
            <w:r>
              <w:rPr>
                <w:rFonts w:hint="eastAsia"/>
              </w:rPr>
              <w:t>特殊事项预算编制</w:t>
            </w:r>
            <w:r>
              <w:tab/>
            </w:r>
            <w:r>
              <w:fldChar w:fldCharType="begin"/>
            </w:r>
            <w:r>
              <w:instrText xml:space="preserve"> PAGEREF _Toc632 \h </w:instrText>
            </w:r>
            <w:r>
              <w:fldChar w:fldCharType="separate"/>
            </w:r>
            <w:r>
              <w:t>13</w:t>
            </w:r>
            <w:r>
              <w:fldChar w:fldCharType="end"/>
            </w:r>
          </w:hyperlink>
        </w:p>
        <w:p w14:paraId="25CC5F5C" w14:textId="77777777" w:rsidR="001E2803" w:rsidRDefault="00000000">
          <w:pPr>
            <w:pStyle w:val="TOC2"/>
            <w:tabs>
              <w:tab w:val="right" w:leader="dot" w:pos="8306"/>
            </w:tabs>
            <w:spacing w:line="400" w:lineRule="exact"/>
            <w:ind w:firstLine="420"/>
          </w:pPr>
          <w:hyperlink w:anchor="_Toc20949" w:history="1">
            <w:r>
              <w:rPr>
                <w:rFonts w:hint="eastAsia"/>
              </w:rPr>
              <w:t xml:space="preserve">7.1 </w:t>
            </w:r>
            <w:r>
              <w:rPr>
                <w:rFonts w:hint="eastAsia"/>
              </w:rPr>
              <w:t>“三公”</w:t>
            </w:r>
            <w:r>
              <w:rPr>
                <w:rFonts w:hint="eastAsia"/>
              </w:rPr>
              <w:t xml:space="preserve"> </w:t>
            </w:r>
            <w:r>
              <w:rPr>
                <w:rFonts w:hint="eastAsia"/>
              </w:rPr>
              <w:t>经费预算</w:t>
            </w:r>
            <w:r>
              <w:tab/>
            </w:r>
            <w:r>
              <w:fldChar w:fldCharType="begin"/>
            </w:r>
            <w:r>
              <w:instrText xml:space="preserve"> PAGEREF _Toc20949 \h </w:instrText>
            </w:r>
            <w:r>
              <w:fldChar w:fldCharType="separate"/>
            </w:r>
            <w:r>
              <w:t>13</w:t>
            </w:r>
            <w:r>
              <w:fldChar w:fldCharType="end"/>
            </w:r>
          </w:hyperlink>
        </w:p>
        <w:p w14:paraId="2C731E18" w14:textId="77777777" w:rsidR="001E2803" w:rsidRDefault="00000000">
          <w:pPr>
            <w:pStyle w:val="TOC2"/>
            <w:tabs>
              <w:tab w:val="right" w:leader="dot" w:pos="8306"/>
            </w:tabs>
            <w:spacing w:line="400" w:lineRule="exact"/>
            <w:ind w:firstLine="420"/>
          </w:pPr>
          <w:hyperlink w:anchor="_Toc10160" w:history="1">
            <w:r>
              <w:rPr>
                <w:rFonts w:hint="eastAsia"/>
              </w:rPr>
              <w:t xml:space="preserve">7.2 </w:t>
            </w:r>
            <w:r>
              <w:rPr>
                <w:rFonts w:hint="eastAsia"/>
              </w:rPr>
              <w:t>会议及培训支出</w:t>
            </w:r>
            <w:r>
              <w:tab/>
            </w:r>
            <w:r>
              <w:fldChar w:fldCharType="begin"/>
            </w:r>
            <w:r>
              <w:instrText xml:space="preserve"> PAGEREF _Toc10160 \h </w:instrText>
            </w:r>
            <w:r>
              <w:fldChar w:fldCharType="separate"/>
            </w:r>
            <w:r>
              <w:t>14</w:t>
            </w:r>
            <w:r>
              <w:fldChar w:fldCharType="end"/>
            </w:r>
          </w:hyperlink>
        </w:p>
        <w:p w14:paraId="5756581B" w14:textId="77777777" w:rsidR="001E2803" w:rsidRDefault="00000000">
          <w:pPr>
            <w:pStyle w:val="TOC2"/>
            <w:tabs>
              <w:tab w:val="right" w:leader="dot" w:pos="8306"/>
            </w:tabs>
            <w:spacing w:line="400" w:lineRule="exact"/>
            <w:ind w:firstLine="420"/>
          </w:pPr>
          <w:hyperlink w:anchor="_Toc7420" w:history="1">
            <w:r>
              <w:rPr>
                <w:rFonts w:hint="eastAsia"/>
              </w:rPr>
              <w:t xml:space="preserve">7.3 </w:t>
            </w:r>
            <w:r>
              <w:rPr>
                <w:rFonts w:hint="eastAsia"/>
              </w:rPr>
              <w:t>差旅费</w:t>
            </w:r>
            <w:r>
              <w:tab/>
            </w:r>
            <w:r>
              <w:fldChar w:fldCharType="begin"/>
            </w:r>
            <w:r>
              <w:instrText xml:space="preserve"> PAGEREF _Toc7420 \h </w:instrText>
            </w:r>
            <w:r>
              <w:fldChar w:fldCharType="separate"/>
            </w:r>
            <w:r>
              <w:t>15</w:t>
            </w:r>
            <w:r>
              <w:fldChar w:fldCharType="end"/>
            </w:r>
          </w:hyperlink>
        </w:p>
        <w:p w14:paraId="267EF866" w14:textId="77777777" w:rsidR="001E2803" w:rsidRDefault="00000000">
          <w:pPr>
            <w:pStyle w:val="TOC2"/>
            <w:tabs>
              <w:tab w:val="right" w:leader="dot" w:pos="8306"/>
            </w:tabs>
            <w:spacing w:line="400" w:lineRule="exact"/>
            <w:ind w:firstLine="420"/>
          </w:pPr>
          <w:hyperlink w:anchor="_Toc20593" w:history="1">
            <w:r>
              <w:rPr>
                <w:rFonts w:hint="eastAsia"/>
              </w:rPr>
              <w:t xml:space="preserve">7.4 </w:t>
            </w:r>
            <w:r>
              <w:rPr>
                <w:rFonts w:hint="eastAsia"/>
              </w:rPr>
              <w:t>委托业务费</w:t>
            </w:r>
            <w:r>
              <w:tab/>
            </w:r>
            <w:r>
              <w:fldChar w:fldCharType="begin"/>
            </w:r>
            <w:r>
              <w:instrText xml:space="preserve"> PAGEREF _Toc20593 \h </w:instrText>
            </w:r>
            <w:r>
              <w:fldChar w:fldCharType="separate"/>
            </w:r>
            <w:r>
              <w:t>15</w:t>
            </w:r>
            <w:r>
              <w:fldChar w:fldCharType="end"/>
            </w:r>
          </w:hyperlink>
        </w:p>
        <w:p w14:paraId="700C2CCE" w14:textId="77777777" w:rsidR="001E2803" w:rsidRDefault="00000000">
          <w:pPr>
            <w:pStyle w:val="TOC2"/>
            <w:tabs>
              <w:tab w:val="right" w:leader="dot" w:pos="8306"/>
            </w:tabs>
            <w:spacing w:line="400" w:lineRule="exact"/>
            <w:ind w:firstLine="420"/>
          </w:pPr>
          <w:hyperlink w:anchor="_Toc21559" w:history="1">
            <w:r>
              <w:rPr>
                <w:rFonts w:hint="eastAsia"/>
              </w:rPr>
              <w:t>7.5</w:t>
            </w:r>
            <w:r>
              <w:rPr>
                <w:rFonts w:hint="eastAsia"/>
              </w:rPr>
              <w:t>“其他”类经济科目编制</w:t>
            </w:r>
            <w:r>
              <w:tab/>
            </w:r>
            <w:r>
              <w:fldChar w:fldCharType="begin"/>
            </w:r>
            <w:r>
              <w:instrText xml:space="preserve"> PAGEREF _Toc21559 \h </w:instrText>
            </w:r>
            <w:r>
              <w:fldChar w:fldCharType="separate"/>
            </w:r>
            <w:r>
              <w:t>16</w:t>
            </w:r>
            <w:r>
              <w:fldChar w:fldCharType="end"/>
            </w:r>
          </w:hyperlink>
        </w:p>
        <w:p w14:paraId="1E1FCD2E" w14:textId="77777777" w:rsidR="001E2803" w:rsidRDefault="00000000">
          <w:pPr>
            <w:pStyle w:val="TOC1"/>
            <w:tabs>
              <w:tab w:val="right" w:leader="dot" w:pos="8306"/>
            </w:tabs>
            <w:spacing w:line="400" w:lineRule="exact"/>
            <w:ind w:firstLine="420"/>
          </w:pPr>
          <w:hyperlink w:anchor="_Toc9696" w:history="1">
            <w:r>
              <w:rPr>
                <w:rFonts w:hint="eastAsia"/>
              </w:rPr>
              <w:t>第八章</w:t>
            </w:r>
            <w:r>
              <w:rPr>
                <w:rFonts w:hint="eastAsia"/>
              </w:rPr>
              <w:t xml:space="preserve"> </w:t>
            </w:r>
            <w:r>
              <w:rPr>
                <w:rFonts w:hint="eastAsia"/>
              </w:rPr>
              <w:t>资产配置管理</w:t>
            </w:r>
            <w:r>
              <w:tab/>
            </w:r>
            <w:r>
              <w:fldChar w:fldCharType="begin"/>
            </w:r>
            <w:r>
              <w:instrText xml:space="preserve"> PAGEREF _Toc9696 \h </w:instrText>
            </w:r>
            <w:r>
              <w:fldChar w:fldCharType="separate"/>
            </w:r>
            <w:r>
              <w:t>17</w:t>
            </w:r>
            <w:r>
              <w:fldChar w:fldCharType="end"/>
            </w:r>
          </w:hyperlink>
        </w:p>
        <w:p w14:paraId="450F1861" w14:textId="77777777" w:rsidR="001E2803" w:rsidRDefault="00000000">
          <w:pPr>
            <w:pStyle w:val="TOC1"/>
            <w:tabs>
              <w:tab w:val="right" w:leader="dot" w:pos="8306"/>
            </w:tabs>
            <w:spacing w:line="400" w:lineRule="exact"/>
            <w:ind w:firstLine="420"/>
          </w:pPr>
          <w:hyperlink w:anchor="_Toc13220" w:history="1">
            <w:r>
              <w:rPr>
                <w:rFonts w:hint="eastAsia"/>
              </w:rPr>
              <w:t>第九章</w:t>
            </w:r>
            <w:r>
              <w:rPr>
                <w:rFonts w:hint="eastAsia"/>
              </w:rPr>
              <w:t xml:space="preserve"> </w:t>
            </w:r>
            <w:r>
              <w:rPr>
                <w:rFonts w:hint="eastAsia"/>
              </w:rPr>
              <w:t>政府采购管理</w:t>
            </w:r>
            <w:r>
              <w:tab/>
            </w:r>
            <w:r>
              <w:fldChar w:fldCharType="begin"/>
            </w:r>
            <w:r>
              <w:instrText xml:space="preserve"> PAGEREF _Toc13220 \h </w:instrText>
            </w:r>
            <w:r>
              <w:fldChar w:fldCharType="separate"/>
            </w:r>
            <w:r>
              <w:t>17</w:t>
            </w:r>
            <w:r>
              <w:fldChar w:fldCharType="end"/>
            </w:r>
          </w:hyperlink>
        </w:p>
        <w:p w14:paraId="6F2723B1" w14:textId="77777777" w:rsidR="001E2803" w:rsidRDefault="00000000">
          <w:pPr>
            <w:pStyle w:val="TOC1"/>
            <w:tabs>
              <w:tab w:val="right" w:leader="dot" w:pos="8306"/>
            </w:tabs>
            <w:spacing w:line="400" w:lineRule="exact"/>
            <w:ind w:firstLine="420"/>
          </w:pPr>
          <w:hyperlink w:anchor="_Toc29961" w:history="1">
            <w:r>
              <w:rPr>
                <w:rFonts w:hint="eastAsia"/>
              </w:rPr>
              <w:t>第十章</w:t>
            </w:r>
            <w:r>
              <w:rPr>
                <w:rFonts w:hint="eastAsia"/>
              </w:rPr>
              <w:t xml:space="preserve"> </w:t>
            </w:r>
            <w:r>
              <w:rPr>
                <w:rFonts w:hint="eastAsia"/>
              </w:rPr>
              <w:t>预算明细主要经济分类科目使用说明</w:t>
            </w:r>
            <w:r>
              <w:tab/>
            </w:r>
            <w:r>
              <w:fldChar w:fldCharType="begin"/>
            </w:r>
            <w:r>
              <w:instrText xml:space="preserve"> PAGEREF _Toc29961 \h </w:instrText>
            </w:r>
            <w:r>
              <w:fldChar w:fldCharType="separate"/>
            </w:r>
            <w:r>
              <w:t>19</w:t>
            </w:r>
            <w:r>
              <w:fldChar w:fldCharType="end"/>
            </w:r>
          </w:hyperlink>
        </w:p>
        <w:p w14:paraId="4B913111" w14:textId="77777777" w:rsidR="001E2803" w:rsidRDefault="00000000">
          <w:pPr>
            <w:spacing w:line="400" w:lineRule="exact"/>
            <w:ind w:firstLineChars="0" w:firstLine="0"/>
            <w:rPr>
              <w:rFonts w:ascii="宋体" w:eastAsia="宋体" w:hAnsi="宋体" w:hint="eastAsia"/>
            </w:rPr>
          </w:pPr>
          <w:r>
            <w:fldChar w:fldCharType="end"/>
          </w:r>
        </w:p>
      </w:sdtContent>
    </w:sdt>
    <w:p w14:paraId="1C142515" w14:textId="77777777" w:rsidR="001E2803" w:rsidRDefault="00000000">
      <w:pPr>
        <w:pStyle w:val="1"/>
        <w:ind w:firstLine="643"/>
      </w:pPr>
      <w:bookmarkStart w:id="0" w:name="_Toc21217"/>
      <w:r>
        <w:rPr>
          <w:rFonts w:hint="eastAsia"/>
        </w:rPr>
        <w:lastRenderedPageBreak/>
        <w:t>第一章</w:t>
      </w:r>
      <w:r>
        <w:rPr>
          <w:rFonts w:hint="eastAsia"/>
        </w:rPr>
        <w:t xml:space="preserve">  </w:t>
      </w:r>
      <w:r>
        <w:rPr>
          <w:rFonts w:hint="eastAsia"/>
        </w:rPr>
        <w:t>总则</w:t>
      </w:r>
      <w:bookmarkEnd w:id="0"/>
    </w:p>
    <w:p w14:paraId="4BDF4A2E" w14:textId="77777777" w:rsidR="001E2803" w:rsidRDefault="00000000">
      <w:pPr>
        <w:pStyle w:val="2"/>
        <w:ind w:firstLine="643"/>
      </w:pPr>
      <w:bookmarkStart w:id="1" w:name="_Toc32507"/>
      <w:r>
        <w:t xml:space="preserve">1.1 </w:t>
      </w:r>
      <w:r>
        <w:t>编制目的</w:t>
      </w:r>
      <w:bookmarkEnd w:id="1"/>
    </w:p>
    <w:p w14:paraId="502D9F5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为规范学校预算编制工作，提高预算编制质量，强化预算约束刚性，落实零基预算改革和过紧日子要求，依据国家及省级有关预算管理规定，结合学校实际，制定本手册。</w:t>
      </w:r>
    </w:p>
    <w:p w14:paraId="014714F8" w14:textId="77777777" w:rsidR="001E2803" w:rsidRDefault="00000000">
      <w:pPr>
        <w:pStyle w:val="2"/>
        <w:ind w:firstLine="643"/>
      </w:pPr>
      <w:bookmarkStart w:id="2" w:name="_Toc29767"/>
      <w:r>
        <w:t xml:space="preserve">1.2 </w:t>
      </w:r>
      <w:r>
        <w:t>适用范围</w:t>
      </w:r>
      <w:bookmarkEnd w:id="2"/>
    </w:p>
    <w:p w14:paraId="1EFC165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本手册适用于贵州大学各二级单位（含学院、校直单位、职能部门等）的年度预算编制工作。</w:t>
      </w:r>
    </w:p>
    <w:p w14:paraId="47F1831C" w14:textId="77777777" w:rsidR="001E2803" w:rsidRDefault="00000000">
      <w:pPr>
        <w:pStyle w:val="1"/>
        <w:ind w:firstLine="643"/>
      </w:pPr>
      <w:bookmarkStart w:id="3" w:name="_Toc28042"/>
      <w:r>
        <w:rPr>
          <w:rFonts w:hint="eastAsia"/>
        </w:rPr>
        <w:t>第二章</w:t>
      </w:r>
      <w:r>
        <w:rPr>
          <w:rFonts w:hint="eastAsia"/>
        </w:rPr>
        <w:t xml:space="preserve"> </w:t>
      </w:r>
      <w:r>
        <w:rPr>
          <w:rFonts w:hint="eastAsia"/>
        </w:rPr>
        <w:t>预算编制工作要求</w:t>
      </w:r>
      <w:bookmarkEnd w:id="3"/>
    </w:p>
    <w:p w14:paraId="173FB269" w14:textId="77777777" w:rsidR="001E2803" w:rsidRDefault="00000000">
      <w:pPr>
        <w:pStyle w:val="2"/>
        <w:ind w:firstLine="643"/>
      </w:pPr>
      <w:bookmarkStart w:id="4" w:name="_Toc25727"/>
      <w:r>
        <w:t>2.1</w:t>
      </w:r>
      <w:r>
        <w:t>高度重视，确保预算编制工作高质量完成。</w:t>
      </w:r>
      <w:bookmarkEnd w:id="4"/>
    </w:p>
    <w:p w14:paraId="01AC313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为落实零基预算改革要求，牢固树立过紧日子思想，推进预算精细化管理，强化预算与政府采购刚性约束，自2027年起，预算系统将实现与财务账务系统、采购系统数据对接。各部门须高度重视预算编制工作，预算编制精准度将直接影响后续预算执行。</w:t>
      </w:r>
    </w:p>
    <w:p w14:paraId="45E931B2" w14:textId="77777777" w:rsidR="001E2803" w:rsidRDefault="00000000">
      <w:pPr>
        <w:pStyle w:val="2"/>
        <w:ind w:firstLine="643"/>
      </w:pPr>
      <w:bookmarkStart w:id="5" w:name="_Toc19667"/>
      <w:r>
        <w:t>2.2</w:t>
      </w:r>
      <w:r>
        <w:t>精准编制，确保经济分类科目规范准确。</w:t>
      </w:r>
      <w:bookmarkEnd w:id="5"/>
    </w:p>
    <w:p w14:paraId="1E24594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预算明细表中经济分类数据，将作为财务报销经济分类额度控制依据。各单位须结合年度工作计划和实际支出需求，逐项细化经济分类科目，确保科目选用准确、金额测算合理。</w:t>
      </w:r>
      <w:r>
        <w:rPr>
          <w:rFonts w:ascii="仿宋_GB2312" w:eastAsia="仿宋_GB2312" w:hAnsi="仿宋_GB2312" w:cs="仿宋_GB2312" w:hint="eastAsia"/>
          <w:kern w:val="0"/>
          <w:sz w:val="32"/>
          <w:szCs w:val="32"/>
          <w:lang w:bidi="ar"/>
        </w:rPr>
        <w:lastRenderedPageBreak/>
        <w:t>若预算编制不准确，将直接影响经费正常报销。</w:t>
      </w:r>
    </w:p>
    <w:p w14:paraId="7381BA94" w14:textId="77777777" w:rsidR="001E2803" w:rsidRDefault="00000000">
      <w:pPr>
        <w:pStyle w:val="2"/>
        <w:ind w:firstLine="643"/>
      </w:pPr>
      <w:bookmarkStart w:id="6" w:name="_Toc3052"/>
      <w:r>
        <w:t>2.3</w:t>
      </w:r>
      <w:r>
        <w:t>全面梳理，确保政府采购预算完整合规。</w:t>
      </w:r>
      <w:bookmarkEnd w:id="6"/>
    </w:p>
    <w:p w14:paraId="52DFAC0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政府采购相关数据由预算系统直接提取，作为下一年度采购项目立项及资金支付的重要依据，因此政府采购预算是预算编制核心内容，直接决定下一年度采购项目能否正常实施与资金支付。</w:t>
      </w:r>
    </w:p>
    <w:p w14:paraId="69D7C13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各单位须全面梳理采购需求，准确匹配采购品目和采购方式，确保应编尽编、不漏不缺。因出现漏编预算、采购品目错配等问题导致次年采购工作无法正常开展的，由编制单位自行承担相应责任。</w:t>
      </w:r>
    </w:p>
    <w:p w14:paraId="151D378D" w14:textId="77777777" w:rsidR="001E2803" w:rsidRDefault="00000000">
      <w:pPr>
        <w:pStyle w:val="1"/>
        <w:ind w:firstLine="643"/>
      </w:pPr>
      <w:bookmarkStart w:id="7" w:name="_Toc1879"/>
      <w:r>
        <w:rPr>
          <w:rFonts w:hint="eastAsia"/>
        </w:rPr>
        <w:t>第三章</w:t>
      </w:r>
      <w:r>
        <w:rPr>
          <w:rFonts w:hint="eastAsia"/>
        </w:rPr>
        <w:t xml:space="preserve"> </w:t>
      </w:r>
      <w:r>
        <w:rPr>
          <w:rFonts w:hint="eastAsia"/>
        </w:rPr>
        <w:t>预算编制申报系统</w:t>
      </w:r>
      <w:bookmarkEnd w:id="7"/>
    </w:p>
    <w:p w14:paraId="1CE8CF67" w14:textId="77777777" w:rsidR="001E2803" w:rsidRDefault="00000000">
      <w:pPr>
        <w:pStyle w:val="2"/>
        <w:ind w:firstLine="643"/>
      </w:pPr>
      <w:bookmarkStart w:id="8" w:name="_Toc18468"/>
      <w:r>
        <w:t xml:space="preserve">3.1 </w:t>
      </w:r>
      <w:r>
        <w:t>系统网址</w:t>
      </w:r>
      <w:bookmarkEnd w:id="8"/>
    </w:p>
    <w:p w14:paraId="2A69583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各部门统一登录《项目库及预算管理软件 V6.0》（访问地址：http://210.40.4.117:9080/）开展项目入库及预算编制申报工作。</w:t>
      </w:r>
    </w:p>
    <w:p w14:paraId="266A1FDB" w14:textId="77777777" w:rsidR="001E2803" w:rsidRDefault="00000000">
      <w:pPr>
        <w:pStyle w:val="2"/>
        <w:ind w:firstLine="643"/>
      </w:pPr>
      <w:bookmarkStart w:id="9" w:name="_Toc5375"/>
      <w:r>
        <w:t xml:space="preserve">3.2 </w:t>
      </w:r>
      <w:r>
        <w:t>系统操作基本流程</w:t>
      </w:r>
      <w:bookmarkEnd w:id="9"/>
    </w:p>
    <w:p w14:paraId="5054E14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kern w:val="0"/>
          <w:sz w:val="32"/>
          <w:szCs w:val="32"/>
          <w:lang w:bidi="ar"/>
        </w:rPr>
        <w:t>系统操作分为基本预算编制和项目预算编制两条路径，具体如下：</w:t>
      </w:r>
    </w:p>
    <w:p w14:paraId="6353875B" w14:textId="77777777" w:rsidR="001E2803" w:rsidRDefault="00000000">
      <w:pPr>
        <w:ind w:firstLine="640"/>
        <w:rPr>
          <w:rFonts w:ascii="楷体_GB2312" w:eastAsia="楷体_GB2312" w:hAnsi="楷体_GB2312" w:cs="楷体_GB2312" w:hint="eastAsia"/>
          <w:kern w:val="0"/>
          <w:sz w:val="32"/>
          <w:szCs w:val="32"/>
          <w:lang w:bidi="ar"/>
        </w:rPr>
      </w:pPr>
      <w:r>
        <w:rPr>
          <w:rFonts w:ascii="楷体_GB2312" w:eastAsia="楷体_GB2312" w:hAnsi="楷体_GB2312" w:cs="楷体_GB2312" w:hint="eastAsia"/>
          <w:kern w:val="0"/>
          <w:sz w:val="32"/>
          <w:szCs w:val="32"/>
          <w:lang w:bidi="ar"/>
        </w:rPr>
        <w:t>（一）基本预算编制流程</w:t>
      </w:r>
    </w:p>
    <w:p w14:paraId="167CA61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w:t>
      </w:r>
      <w:r>
        <w:rPr>
          <w:rFonts w:ascii="仿宋_GB2312" w:eastAsia="仿宋_GB2312" w:hAnsi="仿宋_GB2312" w:cs="仿宋_GB2312"/>
          <w:kern w:val="0"/>
          <w:sz w:val="32"/>
          <w:szCs w:val="32"/>
          <w:lang w:bidi="ar"/>
        </w:rPr>
        <w:t>登录系统，进入【预算编制申报—基本预算】模块；</w:t>
      </w:r>
    </w:p>
    <w:p w14:paraId="46FCC01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2.</w:t>
      </w:r>
      <w:r>
        <w:rPr>
          <w:rFonts w:ascii="仿宋_GB2312" w:eastAsia="仿宋_GB2312" w:hAnsi="仿宋_GB2312" w:cs="仿宋_GB2312"/>
          <w:kern w:val="0"/>
          <w:sz w:val="32"/>
          <w:szCs w:val="32"/>
          <w:lang w:bidi="ar"/>
        </w:rPr>
        <w:t>按本手册第五章要求填报基本信息、预算明细、新增资产（选填）、政府采购、附件信息；</w:t>
      </w:r>
    </w:p>
    <w:p w14:paraId="6962C06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3.</w:t>
      </w:r>
      <w:r>
        <w:rPr>
          <w:rFonts w:ascii="仿宋_GB2312" w:eastAsia="仿宋_GB2312" w:hAnsi="仿宋_GB2312" w:cs="仿宋_GB2312"/>
          <w:kern w:val="0"/>
          <w:sz w:val="32"/>
          <w:szCs w:val="32"/>
          <w:lang w:bidi="ar"/>
        </w:rPr>
        <w:t>提交预算“一上”编制申请；</w:t>
      </w:r>
    </w:p>
    <w:p w14:paraId="0C7BD4D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4.</w:t>
      </w:r>
      <w:r>
        <w:rPr>
          <w:rFonts w:ascii="仿宋_GB2312" w:eastAsia="仿宋_GB2312" w:hAnsi="仿宋_GB2312" w:cs="仿宋_GB2312"/>
          <w:kern w:val="0"/>
          <w:sz w:val="32"/>
          <w:szCs w:val="32"/>
          <w:lang w:bidi="ar"/>
        </w:rPr>
        <w:t>根据学校下达的控制数，在“二上”阶段进行调整完善后提交。</w:t>
      </w:r>
    </w:p>
    <w:p w14:paraId="059FD52E" w14:textId="77777777" w:rsidR="001E2803" w:rsidRDefault="00000000">
      <w:pPr>
        <w:ind w:firstLine="640"/>
        <w:rPr>
          <w:rFonts w:ascii="楷体_GB2312" w:eastAsia="楷体_GB2312" w:hAnsi="楷体_GB2312" w:cs="楷体_GB2312" w:hint="eastAsia"/>
          <w:kern w:val="0"/>
          <w:sz w:val="32"/>
          <w:szCs w:val="32"/>
          <w:lang w:bidi="ar"/>
        </w:rPr>
      </w:pPr>
      <w:r>
        <w:rPr>
          <w:rFonts w:ascii="楷体_GB2312" w:eastAsia="楷体_GB2312" w:hAnsi="楷体_GB2312" w:cs="楷体_GB2312"/>
          <w:kern w:val="0"/>
          <w:sz w:val="32"/>
          <w:szCs w:val="32"/>
          <w:lang w:bidi="ar"/>
        </w:rPr>
        <w:t>（二）项目预算编制流程</w:t>
      </w:r>
    </w:p>
    <w:p w14:paraId="5FC2003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w:t>
      </w:r>
      <w:r>
        <w:rPr>
          <w:rFonts w:ascii="仿宋_GB2312" w:eastAsia="仿宋_GB2312" w:hAnsi="仿宋_GB2312" w:cs="仿宋_GB2312"/>
          <w:kern w:val="0"/>
          <w:sz w:val="32"/>
          <w:szCs w:val="32"/>
          <w:lang w:bidi="ar"/>
        </w:rPr>
        <w:t>登录系统，在【预算项目编制】模块完成项目入库申报；</w:t>
      </w:r>
    </w:p>
    <w:p w14:paraId="308FABF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w:t>
      </w:r>
      <w:r>
        <w:rPr>
          <w:rFonts w:ascii="仿宋_GB2312" w:eastAsia="仿宋_GB2312" w:hAnsi="仿宋_GB2312" w:cs="仿宋_GB2312"/>
          <w:kern w:val="0"/>
          <w:sz w:val="32"/>
          <w:szCs w:val="32"/>
          <w:lang w:bidi="ar"/>
        </w:rPr>
        <w:t>项目入库经审批立项后，进入【预算编制申报—项目预算】模块；</w:t>
      </w:r>
    </w:p>
    <w:p w14:paraId="12C4854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3.</w:t>
      </w:r>
      <w:r>
        <w:rPr>
          <w:rFonts w:ascii="仿宋_GB2312" w:eastAsia="仿宋_GB2312" w:hAnsi="仿宋_GB2312" w:cs="仿宋_GB2312"/>
          <w:kern w:val="0"/>
          <w:sz w:val="32"/>
          <w:szCs w:val="32"/>
          <w:lang w:bidi="ar"/>
        </w:rPr>
        <w:t>系统自动同步带入项目入库阶段已填报的信息，对应模块免于重复填报；</w:t>
      </w:r>
    </w:p>
    <w:p w14:paraId="183A0C9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4.主要需填报</w:t>
      </w:r>
      <w:r>
        <w:rPr>
          <w:rFonts w:ascii="仿宋_GB2312" w:eastAsia="仿宋_GB2312" w:hAnsi="仿宋_GB2312" w:cs="仿宋_GB2312"/>
          <w:kern w:val="0"/>
          <w:sz w:val="32"/>
          <w:szCs w:val="32"/>
          <w:lang w:bidi="ar"/>
        </w:rPr>
        <w:t>预算明细</w:t>
      </w:r>
      <w:r>
        <w:rPr>
          <w:rFonts w:ascii="仿宋_GB2312" w:eastAsia="仿宋_GB2312" w:hAnsi="仿宋_GB2312" w:cs="仿宋_GB2312" w:hint="eastAsia"/>
          <w:kern w:val="0"/>
          <w:sz w:val="32"/>
          <w:szCs w:val="32"/>
          <w:lang w:bidi="ar"/>
        </w:rPr>
        <w:t>、政府采购等</w:t>
      </w:r>
      <w:r>
        <w:rPr>
          <w:rFonts w:ascii="仿宋_GB2312" w:eastAsia="仿宋_GB2312" w:hAnsi="仿宋_GB2312" w:cs="仿宋_GB2312"/>
          <w:kern w:val="0"/>
          <w:sz w:val="32"/>
          <w:szCs w:val="32"/>
          <w:lang w:bidi="ar"/>
        </w:rPr>
        <w:t>内容；</w:t>
      </w:r>
    </w:p>
    <w:p w14:paraId="0602239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w:t>
      </w:r>
      <w:r>
        <w:rPr>
          <w:rFonts w:ascii="仿宋_GB2312" w:eastAsia="仿宋_GB2312" w:hAnsi="仿宋_GB2312" w:cs="仿宋_GB2312"/>
          <w:kern w:val="0"/>
          <w:sz w:val="32"/>
          <w:szCs w:val="32"/>
          <w:lang w:bidi="ar"/>
        </w:rPr>
        <w:t>提交预算编制申报。</w:t>
      </w:r>
    </w:p>
    <w:p w14:paraId="1B1B77A6" w14:textId="77777777" w:rsidR="001E2803" w:rsidRDefault="00000000">
      <w:pPr>
        <w:pStyle w:val="1"/>
        <w:ind w:firstLine="643"/>
      </w:pPr>
      <w:bookmarkStart w:id="10" w:name="_Toc18266"/>
      <w:r>
        <w:rPr>
          <w:rFonts w:hint="eastAsia"/>
        </w:rPr>
        <w:t>第四章</w:t>
      </w:r>
      <w:r>
        <w:rPr>
          <w:rFonts w:hint="eastAsia"/>
        </w:rPr>
        <w:t xml:space="preserve"> </w:t>
      </w:r>
      <w:r>
        <w:rPr>
          <w:rFonts w:hint="eastAsia"/>
        </w:rPr>
        <w:t>预算构成</w:t>
      </w:r>
      <w:bookmarkEnd w:id="10"/>
    </w:p>
    <w:p w14:paraId="07C9EC75" w14:textId="77777777" w:rsidR="001E2803" w:rsidRDefault="00000000">
      <w:pPr>
        <w:ind w:firstLine="640"/>
        <w:rPr>
          <w:rFonts w:ascii="Times New Roman" w:eastAsia="仿宋_GB2312" w:hAnsi="Times New Roman" w:cs="Times New Roman"/>
          <w:b/>
          <w:bCs/>
          <w:sz w:val="32"/>
          <w:szCs w:val="32"/>
        </w:rPr>
      </w:pPr>
      <w:r>
        <w:rPr>
          <w:rFonts w:ascii="Times New Roman" w:eastAsia="仿宋_GB2312" w:hAnsi="Times New Roman" w:cs="Times New Roman"/>
          <w:sz w:val="32"/>
          <w:szCs w:val="32"/>
        </w:rPr>
        <w:t>学校预算分为</w:t>
      </w:r>
      <w:r>
        <w:rPr>
          <w:rFonts w:ascii="Times New Roman" w:eastAsia="仿宋_GB2312" w:hAnsi="Times New Roman" w:cs="Times New Roman"/>
          <w:b/>
          <w:bCs/>
          <w:sz w:val="32"/>
          <w:szCs w:val="32"/>
        </w:rPr>
        <w:t>基本支出预算</w:t>
      </w:r>
      <w:r>
        <w:rPr>
          <w:rFonts w:ascii="Times New Roman" w:eastAsia="仿宋_GB2312" w:hAnsi="Times New Roman" w:cs="Times New Roman"/>
          <w:sz w:val="32"/>
          <w:szCs w:val="32"/>
        </w:rPr>
        <w:t>和</w:t>
      </w:r>
      <w:r>
        <w:rPr>
          <w:rFonts w:ascii="Times New Roman" w:eastAsia="仿宋_GB2312" w:hAnsi="Times New Roman" w:cs="Times New Roman"/>
          <w:b/>
          <w:bCs/>
          <w:sz w:val="32"/>
          <w:szCs w:val="32"/>
        </w:rPr>
        <w:t>项目支出预算</w:t>
      </w:r>
    </w:p>
    <w:p w14:paraId="6880ED1D" w14:textId="77777777" w:rsidR="001E2803" w:rsidRDefault="00000000">
      <w:pPr>
        <w:pStyle w:val="2"/>
        <w:ind w:firstLine="643"/>
      </w:pPr>
      <w:bookmarkStart w:id="11" w:name="_Toc20858"/>
      <w:r>
        <w:t>4.1</w:t>
      </w:r>
      <w:r>
        <w:t>基本支出预算</w:t>
      </w:r>
      <w:bookmarkEnd w:id="11"/>
    </w:p>
    <w:p w14:paraId="35155C9C"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定义：为保障学校正常运转，完成日常事业任务而编制的年度支出计划，包含人员经费支出预算和公用经费支出预算。其中，公用经费支出预算包含部门办公经费和部门代管专项经费。</w:t>
      </w:r>
    </w:p>
    <w:p w14:paraId="0F8E95CE"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范围：学院包干经费、校直单位、职能部门业务</w:t>
      </w:r>
      <w:r>
        <w:rPr>
          <w:rFonts w:ascii="Times New Roman" w:eastAsia="仿宋_GB2312" w:hAnsi="Times New Roman" w:cs="Times New Roman"/>
          <w:sz w:val="32"/>
          <w:szCs w:val="32"/>
        </w:rPr>
        <w:lastRenderedPageBreak/>
        <w:t>费、部门代管专项、奖励</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发展、二级单位自筹</w:t>
      </w:r>
      <w:r>
        <w:rPr>
          <w:rFonts w:ascii="Times New Roman" w:eastAsia="仿宋_GB2312" w:hAnsi="Times New Roman" w:cs="Times New Roman" w:hint="eastAsia"/>
          <w:sz w:val="32"/>
          <w:szCs w:val="32"/>
        </w:rPr>
        <w:t>。</w:t>
      </w:r>
    </w:p>
    <w:p w14:paraId="6C15BE19" w14:textId="77777777" w:rsidR="001E2803" w:rsidRDefault="00000000">
      <w:pPr>
        <w:ind w:firstLine="640"/>
        <w:rPr>
          <w:rFonts w:ascii="仿宋_GB2312" w:eastAsia="仿宋_GB2312" w:hAnsi="仿宋_GB2312" w:cs="仿宋_GB2312" w:hint="eastAsia"/>
          <w:kern w:val="0"/>
          <w:sz w:val="32"/>
          <w:szCs w:val="32"/>
          <w:lang w:bidi="ar"/>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学院包干经费、校直单位及职能部门业务费预算：</w:t>
      </w:r>
      <w:r>
        <w:rPr>
          <w:rFonts w:ascii="仿宋_GB2312" w:eastAsia="仿宋_GB2312" w:hAnsi="仿宋_GB2312" w:cs="仿宋_GB2312" w:hint="eastAsia"/>
          <w:kern w:val="0"/>
          <w:sz w:val="32"/>
          <w:szCs w:val="32"/>
          <w:lang w:bidi="ar"/>
        </w:rPr>
        <w:t>系统通过预置部门信息自动生成预算控制数，各单位须在核定的预算控制数范围内完成部门预算编制。控制数生成基础以 2026 年正式公布的财务收支预算基础信息为准，相关基础信息发生变动的，在预算“二上”阶段予以调整。</w:t>
      </w:r>
    </w:p>
    <w:p w14:paraId="192AC31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2.部门代管专项：本类预算不设置项目控制数，各部门结合实际业务情况完成预算“一上”编制。</w:t>
      </w:r>
    </w:p>
    <w:p w14:paraId="188BF71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3.专户自筹经费（奖励发展）</w:t>
      </w:r>
      <w:r>
        <w:rPr>
          <w:rFonts w:ascii="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主要涵盖专业硕士、软件学院、民族预科、对外办学学费及报名考试费等上缴财政专户的非税收入，按照学校经费分配制度，按比例纳入自筹经费管理。系统依据历年收支情况预设预算控制数，各单位在控制数内完成预算编制。</w:t>
      </w:r>
    </w:p>
    <w:p w14:paraId="4C93191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4.二级单位自筹：本类预算用于核算各二级单位开展教学及教学辅助活动取得的非本级财政拨款收入、学校资产资源有偿使用收入对应的业务成本支出等，相关收入纳入学校账户作为单位自有资金管理。本类不设置预算控制数，各单位结合业务实际及学校经费分配规定科学测算编制；如年度无对应业务计划，可不予填报。</w:t>
      </w:r>
    </w:p>
    <w:p w14:paraId="4236DBED"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直接入库，无需填报项目库信息，仅需进入</w:t>
      </w:r>
      <w:r>
        <w:rPr>
          <w:rFonts w:ascii="仿宋_GB2312" w:eastAsia="仿宋_GB2312" w:hAnsi="仿宋_GB2312" w:cs="仿宋_GB2312"/>
          <w:kern w:val="0"/>
          <w:sz w:val="32"/>
          <w:szCs w:val="32"/>
          <w:lang w:bidi="ar"/>
        </w:rPr>
        <w:t>【预算编制申报—基本预算】</w:t>
      </w:r>
      <w:r>
        <w:rPr>
          <w:rFonts w:ascii="Times New Roman" w:eastAsia="仿宋_GB2312" w:hAnsi="Times New Roman" w:cs="Times New Roman"/>
          <w:sz w:val="32"/>
          <w:szCs w:val="32"/>
        </w:rPr>
        <w:t>模块进行预算编制。</w:t>
      </w:r>
    </w:p>
    <w:p w14:paraId="4D9FF900" w14:textId="77777777" w:rsidR="001E2803" w:rsidRDefault="00000000">
      <w:pPr>
        <w:pStyle w:val="2"/>
        <w:ind w:firstLine="643"/>
      </w:pPr>
      <w:bookmarkStart w:id="12" w:name="_Toc19382"/>
      <w:r>
        <w:t>4.2</w:t>
      </w:r>
      <w:r>
        <w:t>项目支出预算</w:t>
      </w:r>
      <w:bookmarkEnd w:id="12"/>
    </w:p>
    <w:p w14:paraId="0D20500B"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定义：项目支出预算是结合学校教育事业中长期</w:t>
      </w:r>
      <w:r>
        <w:rPr>
          <w:rFonts w:ascii="Times New Roman" w:eastAsia="仿宋_GB2312" w:hAnsi="Times New Roman" w:cs="Times New Roman"/>
          <w:sz w:val="32"/>
          <w:szCs w:val="32"/>
        </w:rPr>
        <w:lastRenderedPageBreak/>
        <w:t>规划与年度工作计划，各单位按照自身职能职责完成特定工作任务和事业发展目标的支出预算。</w:t>
      </w:r>
    </w:p>
    <w:p w14:paraId="2BAB5DB6"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范围：除保障学校正常运转的人员经费支出和公用经费支出直接入库外，其他各类预算支出均须以项目形式纳入项目库管理，未纳入项目库的项目原则上不安排预算支出。</w:t>
      </w:r>
    </w:p>
    <w:p w14:paraId="6836CCEE" w14:textId="77777777" w:rsidR="001E2803"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b/>
          <w:bCs/>
          <w:sz w:val="32"/>
          <w:szCs w:val="32"/>
        </w:rPr>
        <w:t>项目预算填报一般步骤</w:t>
      </w:r>
      <w:r>
        <w:rPr>
          <w:rFonts w:ascii="Times New Roman" w:eastAsia="仿宋_GB2312" w:hAnsi="Times New Roman" w:cs="Times New Roman"/>
          <w:sz w:val="32"/>
          <w:szCs w:val="32"/>
        </w:rPr>
        <w:t>：先进行项目库填报</w:t>
      </w:r>
      <w:r>
        <w:rPr>
          <w:rFonts w:ascii="Times New Roman" w:eastAsia="仿宋_GB2312" w:hAnsi="Times New Roman" w:cs="Times New Roman"/>
          <w:sz w:val="32"/>
          <w:szCs w:val="32"/>
        </w:rPr>
        <w:t>—</w:t>
      </w:r>
      <w:r>
        <w:rPr>
          <w:rFonts w:ascii="仿宋_GB2312" w:eastAsia="仿宋_GB2312" w:hAnsi="仿宋_GB2312" w:cs="仿宋_GB2312"/>
          <w:kern w:val="0"/>
          <w:sz w:val="32"/>
          <w:szCs w:val="32"/>
          <w:lang w:bidi="ar"/>
        </w:rPr>
        <w:t>经审批立项</w:t>
      </w:r>
      <w:r>
        <w:rPr>
          <w:rFonts w:ascii="仿宋_GB2312" w:eastAsia="仿宋_GB2312" w:hAnsi="仿宋_GB2312" w:cs="仿宋_GB2312" w:hint="eastAsia"/>
          <w:kern w:val="0"/>
          <w:sz w:val="32"/>
          <w:szCs w:val="32"/>
          <w:lang w:bidi="ar"/>
        </w:rPr>
        <w:t>后</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，各单位或负责人进行预算编制。</w:t>
      </w:r>
    </w:p>
    <w:p w14:paraId="1960C10C" w14:textId="77777777" w:rsidR="001E2803" w:rsidRDefault="00000000">
      <w:pPr>
        <w:pStyle w:val="1"/>
        <w:ind w:firstLine="643"/>
      </w:pPr>
      <w:bookmarkStart w:id="13" w:name="_Toc24220"/>
      <w:r>
        <w:rPr>
          <w:rFonts w:hint="eastAsia"/>
        </w:rPr>
        <w:t>第五章</w:t>
      </w:r>
      <w:r>
        <w:rPr>
          <w:rFonts w:hint="eastAsia"/>
        </w:rPr>
        <w:t xml:space="preserve"> </w:t>
      </w:r>
      <w:r>
        <w:rPr>
          <w:rFonts w:hint="eastAsia"/>
        </w:rPr>
        <w:t>预算项目编制（项目入库）</w:t>
      </w:r>
      <w:bookmarkEnd w:id="13"/>
    </w:p>
    <w:p w14:paraId="2FDAA321" w14:textId="77777777" w:rsidR="001E2803" w:rsidRDefault="00000000">
      <w:pPr>
        <w:pStyle w:val="2"/>
        <w:ind w:firstLine="643"/>
      </w:pPr>
      <w:bookmarkStart w:id="14" w:name="_Toc32455"/>
      <w:r>
        <w:t>5.1</w:t>
      </w:r>
      <w:r>
        <w:t>基本信息</w:t>
      </w:r>
      <w:bookmarkEnd w:id="14"/>
    </w:p>
    <w:p w14:paraId="71B1048C" w14:textId="77777777" w:rsidR="001E2803" w:rsidRDefault="00000000">
      <w:pPr>
        <w:pStyle w:val="2"/>
        <w:ind w:firstLine="643"/>
      </w:pPr>
      <w:bookmarkStart w:id="15" w:name="_Toc15009"/>
      <w:r>
        <w:t xml:space="preserve">5.2 </w:t>
      </w:r>
      <w:r>
        <w:t>申请依据</w:t>
      </w:r>
      <w:bookmarkEnd w:id="15"/>
    </w:p>
    <w:p w14:paraId="2F086DB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5.2.1 项目背景及政策依据</w:t>
      </w:r>
    </w:p>
    <w:p w14:paraId="7165CCE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列明省委、省政府、学校相关工作部署或政策文件。文件引用格式统一为：《XXX》（XX〔XX〕X号）第X条：XXX，同时将文件上传至系统附件。</w:t>
      </w:r>
    </w:p>
    <w:p w14:paraId="6971FE4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5.2.2 项目审批（前期准备）情况</w:t>
      </w:r>
    </w:p>
    <w:p w14:paraId="5534AD2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填报行业主管部门、省委省政府、学校层面等审批意见，以及前期论证、调研情况，相关材料作为附件上传系统。</w:t>
      </w:r>
    </w:p>
    <w:p w14:paraId="60E3965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5.2.3 项目实施内容</w:t>
      </w:r>
    </w:p>
    <w:p w14:paraId="160AA9E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明确项目主要实施内容、实施对象、执行标准、具体实施计划。</w:t>
      </w:r>
    </w:p>
    <w:p w14:paraId="3223A0E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5.2.4 项目资金需求</w:t>
      </w:r>
    </w:p>
    <w:p w14:paraId="1BE1D14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总体说明项目资金总需求，结合项目任务明细逐项测算资金规模，测算结果须与项目测算表保持一致。</w:t>
      </w:r>
    </w:p>
    <w:p w14:paraId="4125A20D" w14:textId="77777777" w:rsidR="001E2803" w:rsidRDefault="00000000">
      <w:pPr>
        <w:pStyle w:val="2"/>
        <w:ind w:firstLine="643"/>
      </w:pPr>
      <w:bookmarkStart w:id="16" w:name="_Toc32055"/>
      <w:r>
        <w:t xml:space="preserve">5.3 </w:t>
      </w:r>
      <w:r>
        <w:t>项目测算</w:t>
      </w:r>
      <w:bookmarkEnd w:id="16"/>
    </w:p>
    <w:p w14:paraId="5BC694B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项目预算不得仅填报总金额，须细化至具体经济分类科目，测算依据逐项列明测算标准、数量、单价。</w:t>
      </w:r>
      <w:r>
        <w:rPr>
          <w:rFonts w:ascii="仿宋_GB2312" w:eastAsia="仿宋_GB2312" w:hAnsi="仿宋_GB2312" w:cs="仿宋_GB2312" w:hint="eastAsia"/>
          <w:sz w:val="32"/>
          <w:szCs w:val="32"/>
        </w:rPr>
        <w:t>如（1）测试加工费7万元.品质及生理生化指标测定，700元/个×100个=7万元；（2）论文版面费2.8万元，1.4万元/篇*2篇=2.8万元。等等</w:t>
      </w:r>
    </w:p>
    <w:p w14:paraId="6C4492C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示例：培训项目，列明师资费、场地费、资料费、餐费，附参训人数、培训天数、收费标准；设备采购项目，列明设备名称、数量、单价、规格参数，对照资产配置标准；工程、运维类项目，附报价单、维修清单、服务合同等佐证材料。</w:t>
      </w:r>
    </w:p>
    <w:p w14:paraId="1DBF31F6" w14:textId="77777777" w:rsidR="001E2803" w:rsidRDefault="00000000">
      <w:pPr>
        <w:pStyle w:val="2"/>
        <w:ind w:firstLine="643"/>
      </w:pPr>
      <w:bookmarkStart w:id="17" w:name="_Toc12662"/>
      <w:r>
        <w:t xml:space="preserve">5.4 </w:t>
      </w:r>
      <w:r>
        <w:t>资产配置</w:t>
      </w:r>
      <w:bookmarkEnd w:id="17"/>
    </w:p>
    <w:p w14:paraId="4AEC6C3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资产配置遵照本文手册第8章资产配置管理相关原则。在资产配置表单按资产分类填报至最末级明细，明确资产名称、数量、单价，确保新增资产信息与后续采购执行相匹配。严禁填报“设备一批”等模糊内容，不得人为拆分大额采购规避政府采购流程。</w:t>
      </w:r>
    </w:p>
    <w:p w14:paraId="6B00E04F" w14:textId="77777777" w:rsidR="001E2803" w:rsidRDefault="00000000">
      <w:pPr>
        <w:pStyle w:val="2"/>
        <w:ind w:firstLine="643"/>
      </w:pPr>
      <w:bookmarkStart w:id="18" w:name="_Toc17766"/>
      <w:r>
        <w:t xml:space="preserve">5.5 </w:t>
      </w:r>
      <w:r>
        <w:t>绩效目标</w:t>
      </w:r>
      <w:bookmarkEnd w:id="18"/>
    </w:p>
    <w:p w14:paraId="1BAA1E7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绩效目标是项目在一定周期内预期实现的产出与效果，</w:t>
      </w:r>
      <w:r>
        <w:rPr>
          <w:rFonts w:ascii="仿宋_GB2312" w:eastAsia="仿宋_GB2312" w:hAnsi="仿宋_GB2312" w:cs="仿宋_GB2312" w:hint="eastAsia"/>
          <w:kern w:val="0"/>
          <w:sz w:val="32"/>
          <w:szCs w:val="32"/>
          <w:lang w:bidi="ar"/>
        </w:rPr>
        <w:lastRenderedPageBreak/>
        <w:t>是预算安排的重要依据。未按要求设定绩效目标的项目，不得纳入项目库管理。</w:t>
      </w:r>
    </w:p>
    <w:p w14:paraId="685FF7D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绩效目标通过产出指标、效益指标、满意度指标三类绩效指标细化量化，须完整填报对应三级指标。绩效目标设定应当符合以下要求：</w:t>
      </w:r>
    </w:p>
    <w:p w14:paraId="44B33AC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指向明确：契合项目实施规划，与资金投向、项目业务内容高度匹配；</w:t>
      </w:r>
    </w:p>
    <w:p w14:paraId="2AE20DE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细化量化：从数量、质量、成本、时效、经济效益、社会效益、生态效益、可持续影响、满意度等维度细化；优先采用定量表述；确无法量化的，采用可衡量的定性表述；</w:t>
      </w:r>
    </w:p>
    <w:p w14:paraId="3D3C203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合理可行：经过调研与科学论证，贴合客观实际，在计划周期内能够落地实现；</w:t>
      </w:r>
    </w:p>
    <w:p w14:paraId="46AC10B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相互匹配：绩效目标与计划任务、预算投资额相互对应。</w:t>
      </w:r>
    </w:p>
    <w:p w14:paraId="520AA55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设定绩效目标不得刻意压低目标基准，不得以“低目标、高完成”方式实现超额绩效。</w:t>
      </w:r>
    </w:p>
    <w:p w14:paraId="7D768293" w14:textId="77777777" w:rsidR="001E2803" w:rsidRDefault="00000000">
      <w:pPr>
        <w:pStyle w:val="2"/>
        <w:ind w:firstLine="643"/>
      </w:pPr>
      <w:bookmarkStart w:id="19" w:name="_Toc18817"/>
      <w:r>
        <w:t xml:space="preserve">5.6 </w:t>
      </w:r>
      <w:r>
        <w:t>项目附件</w:t>
      </w:r>
      <w:bookmarkEnd w:id="19"/>
    </w:p>
    <w:p w14:paraId="467C3E8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相关材料以PDF格式上传系统，主要包含：</w:t>
      </w:r>
    </w:p>
    <w:p w14:paraId="2777CE6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5.6.1 项目申请政策依据文件</w:t>
      </w:r>
    </w:p>
    <w:p w14:paraId="3A3748C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5.6.2 部门内部审批文件</w:t>
      </w:r>
    </w:p>
    <w:p w14:paraId="75F0971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5.6.3 项目内部论证评审材料</w:t>
      </w:r>
    </w:p>
    <w:p w14:paraId="29E15D8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5.6.4 资金管理办法及配套制度</w:t>
      </w:r>
    </w:p>
    <w:p w14:paraId="45CD7D1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5.6.5 政府投资项目审批要件</w:t>
      </w:r>
    </w:p>
    <w:p w14:paraId="77441FD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5.6.6 行业主管部门批复文件</w:t>
      </w:r>
    </w:p>
    <w:p w14:paraId="0B87329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5.6.7 事前绩效评估材料</w:t>
      </w:r>
    </w:p>
    <w:p w14:paraId="5CAC5B1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5.6.8 其他佐证材料</w:t>
      </w:r>
    </w:p>
    <w:p w14:paraId="5B305155" w14:textId="77777777" w:rsidR="001E2803" w:rsidRDefault="00000000">
      <w:pPr>
        <w:pStyle w:val="1"/>
        <w:ind w:firstLine="643"/>
      </w:pPr>
      <w:bookmarkStart w:id="20" w:name="_Toc18330"/>
      <w:r>
        <w:rPr>
          <w:rFonts w:hint="eastAsia"/>
        </w:rPr>
        <w:t>第六章</w:t>
      </w:r>
      <w:r>
        <w:rPr>
          <w:rFonts w:hint="eastAsia"/>
        </w:rPr>
        <w:t xml:space="preserve"> </w:t>
      </w:r>
      <w:r>
        <w:rPr>
          <w:rFonts w:hint="eastAsia"/>
        </w:rPr>
        <w:t>预算编制申报</w:t>
      </w:r>
      <w:bookmarkEnd w:id="20"/>
    </w:p>
    <w:p w14:paraId="67AD1600" w14:textId="77777777" w:rsidR="001E2803" w:rsidRDefault="00000000">
      <w:pPr>
        <w:pStyle w:val="2"/>
        <w:ind w:firstLine="643"/>
      </w:pPr>
      <w:bookmarkStart w:id="21" w:name="_Toc3971"/>
      <w:r>
        <w:t xml:space="preserve">6.1 </w:t>
      </w:r>
      <w:r>
        <w:t>基本预算</w:t>
      </w:r>
      <w:bookmarkEnd w:id="21"/>
    </w:p>
    <w:p w14:paraId="7631DBF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6.1.1 基本信息</w:t>
      </w:r>
    </w:p>
    <w:p w14:paraId="71D03DA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简要说明项目业务内容、预算安排必要性，结合资金支出方向测算预算总额；涉及特殊事项预算，须在预算明细表补充详细说明。</w:t>
      </w:r>
    </w:p>
    <w:p w14:paraId="5CDA7FB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6.1.2 预算明细</w:t>
      </w:r>
    </w:p>
    <w:p w14:paraId="456385E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分项目填报经济分类科目支出明细，科目释义详见本手册第12章。因公出国（境）费用、公务接待费、公务用车运行维护费、会议费、培训费、差旅费、委托业务费等特殊事项，遵照本文件第7章要求执行，同时在明细表完整填报测算依据。</w:t>
      </w:r>
      <w:r>
        <w:rPr>
          <w:rFonts w:ascii="仿宋_GB2312" w:eastAsia="仿宋_GB2312" w:hAnsi="仿宋_GB2312" w:cs="仿宋_GB2312" w:hint="eastAsia"/>
          <w:sz w:val="32"/>
          <w:szCs w:val="32"/>
        </w:rPr>
        <w:t>如（1）测试加工费7万元.品质及生理生化指标测定，700元/个×100个=7万元；（2）论文版面费2.8万元，1.4万元/篇*2篇=2.8万元。等等</w:t>
      </w:r>
    </w:p>
    <w:p w14:paraId="1614954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6.1.3 新增资产</w:t>
      </w:r>
    </w:p>
    <w:p w14:paraId="2EAFC4F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基本预算模块中新增资产为选填项，经费不涉及新增资产的可不予填报。如基本预算涉及新增资产，各部门结合事业发展、存量资产情况，按照第8章资产配置管理要求从严配置，不得购置与履职无关资产。</w:t>
      </w:r>
    </w:p>
    <w:p w14:paraId="28253C4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 xml:space="preserve">预算明细表中编码前三位为310 的资本性支出科目，即 </w:t>
      </w:r>
      <w:r>
        <w:rPr>
          <w:rFonts w:ascii="仿宋_GB2312" w:eastAsia="仿宋_GB2312" w:hAnsi="仿宋_GB2312" w:cs="仿宋_GB2312" w:hint="eastAsia"/>
          <w:kern w:val="0"/>
          <w:sz w:val="32"/>
          <w:szCs w:val="32"/>
          <w:lang w:bidi="ar"/>
        </w:rPr>
        <w:lastRenderedPageBreak/>
        <w:t>“31002办公设备购置、31003专用设备购置、31007信息网络及软件购置更新、31013公务用车购置、31019其他交通工具购置、31021文物和陈列品购置、31022无形资产购置、31099其他资本性支出”，其合计编制金额，应当与新增资产填报总金额保持一致。</w:t>
      </w:r>
    </w:p>
    <w:p w14:paraId="37877C1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6.1.4 政府采购</w:t>
      </w:r>
    </w:p>
    <w:p w14:paraId="63B04C9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严格按照本手册第9章政府采购管理相关规定编报。</w:t>
      </w:r>
    </w:p>
    <w:p w14:paraId="7D76BBE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6.1.5 附件信息</w:t>
      </w:r>
    </w:p>
    <w:p w14:paraId="4F12991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将项目预算编制重要佐证材料以PDF格式上传系统。</w:t>
      </w:r>
    </w:p>
    <w:p w14:paraId="1787754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6.1.6 注意事项</w:t>
      </w:r>
    </w:p>
    <w:p w14:paraId="42ABC71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基本预算中的学院包干经费、校直单位、职能部门业务费、部门代管专项，除人员经费类项目外，不得用于在职人员相关经费开支，不得用于硬件建设支出；除另有专项规定外，原则上不得列支公务出国（境）相关经费。系统已对上述禁止开支事项对应经济分类实施填报限制。</w:t>
      </w:r>
    </w:p>
    <w:p w14:paraId="5300A49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针对保障教学运行的各类部门代管专项，落实过紧日子及零基预算编制要求，除在项目基本信息中简要说明项目概况外，还须对预算明细表各项编制金额提供详细测算说明；存在特殊情形的，同步上传正式依据附件。</w:t>
      </w:r>
    </w:p>
    <w:p w14:paraId="5AB68D9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应当统筹部门代管专项整体预算，对于指向明确的专项不能扩大支出范围。例如“车辆维持费”项目，不得列支劳务费等无关开支。对于归口代管、需要二次划拨的专项经费，须对照专项管理制度完成经济分类明细测算，严禁仅将总预算简单归集至单一经济分类科目。</w:t>
      </w:r>
    </w:p>
    <w:p w14:paraId="2862D32B" w14:textId="77777777" w:rsidR="001E2803" w:rsidRDefault="00000000">
      <w:pPr>
        <w:pStyle w:val="2"/>
        <w:ind w:firstLine="643"/>
      </w:pPr>
      <w:bookmarkStart w:id="22" w:name="_Toc3294"/>
      <w:r>
        <w:lastRenderedPageBreak/>
        <w:t xml:space="preserve">6.2 </w:t>
      </w:r>
      <w:r>
        <w:t>项目预算</w:t>
      </w:r>
      <w:bookmarkEnd w:id="22"/>
    </w:p>
    <w:p w14:paraId="724BCF0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6.2.1  基本信息</w:t>
      </w:r>
    </w:p>
    <w:p w14:paraId="6151C7B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已经完成项目库立项审批的项目，系统自动同步带入项目入库阶段填报内容，无需重复填报。</w:t>
      </w:r>
    </w:p>
    <w:p w14:paraId="1967635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6.2.2 申请依据</w:t>
      </w:r>
    </w:p>
    <w:p w14:paraId="2E59D7D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项目库已立项项目，申请依据由系统自动带入项目入库阶段填报内容，无需重复填报。</w:t>
      </w:r>
    </w:p>
    <w:p w14:paraId="47BB376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6.2.3 预算明细（重点填报）</w:t>
      </w:r>
    </w:p>
    <w:p w14:paraId="7448C5B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分项目填报经济分类科目支出明细，科目释义详见本手册第10章。因公出国（境）费用、公务接待费、公务用车运行维护费、会议费、培训费、差旅费、委托业务费等特殊事项，遵照本手册第7章要求执行，明细表中须列明详细测算依据。</w:t>
      </w:r>
      <w:r>
        <w:rPr>
          <w:rFonts w:ascii="仿宋_GB2312" w:eastAsia="仿宋_GB2312" w:hAnsi="仿宋_GB2312" w:cs="仿宋_GB2312" w:hint="eastAsia"/>
          <w:sz w:val="32"/>
          <w:szCs w:val="32"/>
        </w:rPr>
        <w:t>如（1）测试加工费7万元.品质及生理生化指标测定，700元/个×100个=7万元；（2）论文版面费2.8万元，1.4万元/篇*2篇=2.8万元。等等</w:t>
      </w:r>
    </w:p>
    <w:p w14:paraId="26D5641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6.2.4 新增资产</w:t>
      </w:r>
    </w:p>
    <w:p w14:paraId="636D3D7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项目库已立项项目，资产配置信息系统自动带入，无需重复填报。</w:t>
      </w:r>
    </w:p>
    <w:p w14:paraId="70DADA4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6.2.5 政府采购（重点填报）</w:t>
      </w:r>
    </w:p>
    <w:p w14:paraId="16F5123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严格按照本手册第9章政府采购管理相关规定编报。</w:t>
      </w:r>
    </w:p>
    <w:p w14:paraId="52C9816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6.2.6 绩效指标</w:t>
      </w:r>
    </w:p>
    <w:p w14:paraId="1776450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项目库已立项项目，绩效目标及绩效指标系统自动带入，无需重复填报。</w:t>
      </w:r>
    </w:p>
    <w:p w14:paraId="2F43EE7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6.2.7 项目附件</w:t>
      </w:r>
    </w:p>
    <w:p w14:paraId="5C2151C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项目库已立项项目，项目附件由系统自动带入，无需重复上传。</w:t>
      </w:r>
    </w:p>
    <w:p w14:paraId="054A4E3B" w14:textId="77777777" w:rsidR="001E2803" w:rsidRDefault="001E2803">
      <w:pPr>
        <w:ind w:firstLine="640"/>
        <w:rPr>
          <w:rFonts w:ascii="仿宋_GB2312" w:eastAsia="仿宋_GB2312" w:hAnsi="仿宋_GB2312" w:cs="仿宋_GB2312" w:hint="eastAsia"/>
          <w:kern w:val="0"/>
          <w:sz w:val="32"/>
          <w:szCs w:val="32"/>
          <w:lang w:bidi="ar"/>
        </w:rPr>
      </w:pPr>
    </w:p>
    <w:p w14:paraId="0EA7DD3E" w14:textId="77777777" w:rsidR="001E2803" w:rsidRDefault="00000000">
      <w:pPr>
        <w:pStyle w:val="1"/>
        <w:ind w:firstLine="643"/>
      </w:pPr>
      <w:bookmarkStart w:id="23" w:name="_Toc632"/>
      <w:r>
        <w:rPr>
          <w:rFonts w:hint="eastAsia"/>
        </w:rPr>
        <w:t>第七章</w:t>
      </w:r>
      <w:r>
        <w:rPr>
          <w:rFonts w:hint="eastAsia"/>
        </w:rPr>
        <w:t xml:space="preserve"> </w:t>
      </w:r>
      <w:r>
        <w:rPr>
          <w:rFonts w:hint="eastAsia"/>
        </w:rPr>
        <w:t>特殊事项预算编制</w:t>
      </w:r>
      <w:bookmarkEnd w:id="23"/>
    </w:p>
    <w:p w14:paraId="58DF42A7" w14:textId="77777777" w:rsidR="001E2803" w:rsidRDefault="00000000">
      <w:pPr>
        <w:pStyle w:val="2"/>
        <w:ind w:firstLine="643"/>
      </w:pPr>
      <w:bookmarkStart w:id="24" w:name="_Toc20949"/>
      <w:r>
        <w:t xml:space="preserve">7.1 </w:t>
      </w:r>
      <w:r>
        <w:t>“三公”</w:t>
      </w:r>
      <w:r>
        <w:t xml:space="preserve"> </w:t>
      </w:r>
      <w:r>
        <w:t>经费预算</w:t>
      </w:r>
      <w:bookmarkEnd w:id="24"/>
    </w:p>
    <w:p w14:paraId="080CE42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三公”经费包含因公出国（境）费用、公务接待费、公务用车运行维护费。各部门须严格落实中央八项规定及其实施细则精神，遵照《贵州大学国内公务接待管理办法》等制度规定，据实编制“三公”经费预算，严禁虚列预算，严禁无预算安排支出。各部门应当从严从紧编制2027年度“三公”经费预算，编制不实将造成年度执行中科目调剂，进而影响项目执行进度。</w:t>
      </w:r>
    </w:p>
    <w:p w14:paraId="719A4E3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7.1.1 因公出国（境）费用</w:t>
      </w:r>
    </w:p>
    <w:p w14:paraId="47B772D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须科学测算2027年度因公出国（境）计划所需经费（科研经费列支的国际合作与交流支出，不计入“三公”经费统计口径），明确资金来源。校直部门业务费、代管专项经费、学院包干经费原则上不得列支因公出国（境）相关支出，所需经费应当从单位自筹经费统筹解决。公务出国（境）发生的住宿费、旅费、伙食补助费、杂费、培训费等支出，填报至科目“30212 因公出国（境）费用”。</w:t>
      </w:r>
    </w:p>
    <w:p w14:paraId="63BD7A7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各培养单位资助学生出国（境）交流学习，实行报销制的，列支“30212 因公出国（境）费用”；实行包干制的，</w:t>
      </w:r>
      <w:r>
        <w:rPr>
          <w:rFonts w:ascii="仿宋_GB2312" w:eastAsia="仿宋_GB2312" w:hAnsi="仿宋_GB2312" w:cs="仿宋_GB2312" w:hint="eastAsia"/>
          <w:kern w:val="0"/>
          <w:sz w:val="32"/>
          <w:szCs w:val="32"/>
          <w:lang w:bidi="ar"/>
        </w:rPr>
        <w:lastRenderedPageBreak/>
        <w:t>列支“30308 助学金”。两种情形均须在项目基础信息中单独编制测算说明。</w:t>
      </w:r>
    </w:p>
    <w:p w14:paraId="770F472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7.1.2 公务用车运行维护费</w:t>
      </w:r>
    </w:p>
    <w:p w14:paraId="202A421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保留公务用车的部门，须将公务用车燃油费、维修费、过路过桥费、保险费等全部支出纳入“30231 公务用车运行维护费”核算。车辆维修保养、车辆加油、机动车保险属于政府集中采购目录品目，上述相关服务须同步编报政府采购预算。</w:t>
      </w:r>
    </w:p>
    <w:p w14:paraId="1035735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7.1.3 公务接待费</w:t>
      </w:r>
    </w:p>
    <w:p w14:paraId="6D96E9C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各部门严格按照公务接待管理制度，强化接待事项必要性、合理性审核，从严控制接待规模，相关支出列支科目“30217 公务接待费”。</w:t>
      </w:r>
    </w:p>
    <w:p w14:paraId="51929BCE" w14:textId="77777777" w:rsidR="001E2803" w:rsidRDefault="00000000">
      <w:pPr>
        <w:pStyle w:val="2"/>
        <w:ind w:firstLine="643"/>
      </w:pPr>
      <w:bookmarkStart w:id="25" w:name="_Toc10160"/>
      <w:r>
        <w:t xml:space="preserve">7.2 </w:t>
      </w:r>
      <w:r>
        <w:t>会议及培训支出</w:t>
      </w:r>
      <w:bookmarkEnd w:id="25"/>
    </w:p>
    <w:p w14:paraId="0070101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会议费、培训费属于一般性支出重点管控科目。结合零基预算改革、预算一体化全流程监管以及厉行节约、过紧日子相关工作要求，依据《党政机关厉行节约反对浪费条例》，各部门须根据年度工作计划科学测算会议、培训经费并纳入部门预算，不得无预算、超预算安排相关支出。</w:t>
      </w:r>
    </w:p>
    <w:p w14:paraId="66253B0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7.2.1 会议费</w:t>
      </w:r>
    </w:p>
    <w:p w14:paraId="3D56A07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会议费须纳入部门预算并单独列示。各部门梳理全年会议计划，严格执行《贵州大学会议费管理办法》，结合会议场次、会期、开支标准及开支范围逐项测算经费，足额编入年度预算，在预算额度及制度标准范围内据实列支，严禁无</w:t>
      </w:r>
      <w:r>
        <w:rPr>
          <w:rFonts w:ascii="仿宋_GB2312" w:eastAsia="仿宋_GB2312" w:hAnsi="仿宋_GB2312" w:cs="仿宋_GB2312" w:hint="eastAsia"/>
          <w:kern w:val="0"/>
          <w:sz w:val="32"/>
          <w:szCs w:val="32"/>
          <w:lang w:bidi="ar"/>
        </w:rPr>
        <w:lastRenderedPageBreak/>
        <w:t>预算、超预算支出。</w:t>
      </w:r>
    </w:p>
    <w:p w14:paraId="3F56AC2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7.2.2 培训费</w:t>
      </w:r>
    </w:p>
    <w:p w14:paraId="7B17337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培训费须纳入部门预算并单独列示。各部门科学制定年度培训计划，依据《贵州大学培训费管理办法》，结合培训场次、参训人数、开支标准及开支范围逐项测算经费，足额编入年度预算，在预算额度及制度标准范围内据实列支，严禁无预算、超预算支出。</w:t>
      </w:r>
    </w:p>
    <w:p w14:paraId="441EAAF5" w14:textId="77777777" w:rsidR="001E2803" w:rsidRDefault="00000000">
      <w:pPr>
        <w:pStyle w:val="2"/>
        <w:ind w:firstLine="643"/>
      </w:pPr>
      <w:bookmarkStart w:id="26" w:name="_Toc7420"/>
      <w:r>
        <w:t xml:space="preserve">7.3 </w:t>
      </w:r>
      <w:r>
        <w:t>差旅费</w:t>
      </w:r>
      <w:bookmarkEnd w:id="26"/>
    </w:p>
    <w:p w14:paraId="6791588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须强化国内差旅事项的必要性、合规性与经济性审核，对无实质公务内容、无明确公务目的差旅活动严格管控，从严控制出差频次、天数与人员规模。严格落实财政过紧日子工作要求，所有差旅经费均须开展细化测算。</w:t>
      </w:r>
    </w:p>
    <w:p w14:paraId="4DFE7050" w14:textId="77777777" w:rsidR="001E2803" w:rsidRDefault="00000000">
      <w:pPr>
        <w:pStyle w:val="2"/>
        <w:ind w:firstLine="643"/>
      </w:pPr>
      <w:bookmarkStart w:id="27" w:name="_Toc20593"/>
      <w:r>
        <w:t xml:space="preserve">7.4 </w:t>
      </w:r>
      <w:r>
        <w:t>委托业务费</w:t>
      </w:r>
      <w:bookmarkEnd w:id="27"/>
    </w:p>
    <w:p w14:paraId="3527802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规范委托业务费预算编制，是厉行节约、强化预算约束、提升财政资金绩效的重要举措。各部门应当做实事项必要性论证、细化经费测算、规范系统填报，确保做到事项合规、依据充分、测算精准、绩效清晰，从预算源头防范外包业务不规范问题。</w:t>
      </w:r>
    </w:p>
    <w:p w14:paraId="476C693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属于本单位法定职责范围内可直接实施的工作事项，不得对外委托。确需开展对外委托的，应当统筹业务事项、充分开展论证、从严审核把关，严格落实政府采购与绩效管理要求，强化受托主体监督，并完整填报委托业务内容、委托</w:t>
      </w:r>
      <w:r>
        <w:rPr>
          <w:rFonts w:ascii="仿宋_GB2312" w:eastAsia="仿宋_GB2312" w:hAnsi="仿宋_GB2312" w:cs="仿宋_GB2312" w:hint="eastAsia"/>
          <w:kern w:val="0"/>
          <w:sz w:val="32"/>
          <w:szCs w:val="32"/>
          <w:lang w:bidi="ar"/>
        </w:rPr>
        <w:lastRenderedPageBreak/>
        <w:t>目的、实施必要性、经费测算全过程。</w:t>
      </w:r>
    </w:p>
    <w:p w14:paraId="250DC91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物业管理、会议服务、培训、设备维修、劳务等设有独立经济科目的业务支出，不得笼统归集至委托业务费科目；仅跨单位专业委托、第三方专项服务，可在委托业务费科目列支。不得将同一服务事项拆分为多个小额项目，规避采购限额及预算评审管理。</w:t>
      </w:r>
    </w:p>
    <w:p w14:paraId="1CE823DE" w14:textId="77777777" w:rsidR="001E2803" w:rsidRDefault="00000000">
      <w:pPr>
        <w:ind w:firstLine="640"/>
      </w:pPr>
      <w:r>
        <w:rPr>
          <w:rFonts w:ascii="仿宋_GB2312" w:eastAsia="仿宋_GB2312" w:hAnsi="仿宋_GB2312" w:cs="仿宋_GB2312" w:hint="eastAsia"/>
          <w:kern w:val="0"/>
          <w:sz w:val="32"/>
          <w:szCs w:val="32"/>
          <w:lang w:bidi="ar"/>
        </w:rPr>
        <w:t>强化预算执行刚性约束，坚持无预算不委托、先订立合同后办理支付，严禁无预算、超预算开展委托业务。合同须明确分阶段验收节点，待全部成果交付完成并通过验收考核后，方可办理资金支付；绩效不达标的，按照合同约定扣减对应服务费用。</w:t>
      </w:r>
    </w:p>
    <w:p w14:paraId="10B4AB15" w14:textId="77777777" w:rsidR="001E2803" w:rsidRDefault="00000000">
      <w:pPr>
        <w:pStyle w:val="2"/>
        <w:ind w:firstLine="643"/>
      </w:pPr>
      <w:bookmarkStart w:id="28" w:name="_Toc21559"/>
      <w:r>
        <w:t>7.5</w:t>
      </w:r>
      <w:r>
        <w:t>“其他”类经济科目编制</w:t>
      </w:r>
      <w:bookmarkEnd w:id="28"/>
    </w:p>
    <w:p w14:paraId="7E13F74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各部门应当合理测算“其他”类科目预算规模。按照财政管理规定，“30199 其他工资福利支出”“30299 其他商品和服务支出”“30399 其他对个人和家庭的补助支出”“31099 其他资本性支出”，占对应类级科目（301工资福利支出、302商品和服务支出、303对个人和家庭的补助支出、310资本性支出）比重原则上不得超过30%。各部门须准确把握各科目开支范围，杜绝无预算执行。预算编制质量不达标，将在年度执行阶段触发科目调剂申请，影响项目执行进度，或面临资金被收回。</w:t>
      </w:r>
    </w:p>
    <w:p w14:paraId="5F0256E7" w14:textId="77777777" w:rsidR="001E2803" w:rsidRDefault="00000000">
      <w:pPr>
        <w:pStyle w:val="1"/>
        <w:ind w:firstLine="643"/>
      </w:pPr>
      <w:bookmarkStart w:id="29" w:name="_Toc9696"/>
      <w:r>
        <w:rPr>
          <w:rFonts w:hint="eastAsia"/>
        </w:rPr>
        <w:lastRenderedPageBreak/>
        <w:t>第八章</w:t>
      </w:r>
      <w:r>
        <w:rPr>
          <w:rFonts w:hint="eastAsia"/>
        </w:rPr>
        <w:t xml:space="preserve"> </w:t>
      </w:r>
      <w:r>
        <w:rPr>
          <w:rFonts w:hint="eastAsia"/>
        </w:rPr>
        <w:t>资产配置管理</w:t>
      </w:r>
      <w:bookmarkEnd w:id="29"/>
    </w:p>
    <w:p w14:paraId="77CCBC5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部门填报资产配置表，应当立足事业发展实际需求，确因存量资产无法满足教学、科研业务开展方可申报。遵循依法配置、保障需要、科学合理、优化结构、勤俭节约、从严控制原则，从严管控新增资产配置，严禁配置与本单位履职无关资产。严格执行通用办公设备、家具、公务用车配置标准，落实单价上限、最低使用年限、配置数量管控，践行过紧日子要求，压减非必要资产购置。</w:t>
      </w:r>
    </w:p>
    <w:p w14:paraId="046299C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严格区分资本性支出与经常性支出：设备维修、耗材购置属于日常公用经费，不纳入资产配置预算；仅达到固定资产确认标准的设备、软件、家具，纳入资本性支出并申报资产配置预算。</w:t>
      </w:r>
    </w:p>
    <w:p w14:paraId="55B1E2B9" w14:textId="77777777" w:rsidR="001E2803" w:rsidRDefault="00000000">
      <w:pPr>
        <w:pStyle w:val="1"/>
        <w:ind w:firstLine="643"/>
      </w:pPr>
      <w:bookmarkStart w:id="30" w:name="_Toc13220"/>
      <w:r>
        <w:rPr>
          <w:rFonts w:hint="eastAsia"/>
        </w:rPr>
        <w:t>第九章</w:t>
      </w:r>
      <w:r>
        <w:rPr>
          <w:rFonts w:hint="eastAsia"/>
        </w:rPr>
        <w:t xml:space="preserve"> </w:t>
      </w:r>
      <w:r>
        <w:rPr>
          <w:rFonts w:hint="eastAsia"/>
        </w:rPr>
        <w:t>政府采购管理</w:t>
      </w:r>
      <w:bookmarkEnd w:id="30"/>
    </w:p>
    <w:p w14:paraId="2453A9F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依据《关于加强贵州省省级政府采购预算资金管理的意见》及相关制度规定，无论资金来源为财政拨款还是单位自有资金，达到政府采购限额标准的支出，均应当编报政府采购预算；未编报政府采购预算的，不予备案采购计划、不得实施采购活动、不予办理资金支付。</w:t>
      </w:r>
    </w:p>
    <w:p w14:paraId="38AC9C5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属于政府集中采购目录内的项目，无论金额大小，均须编制政府采购预算，公务用车燃油、维修、保险服务包含在内；不在集中采购目录内，但达到采购限额标准（货物、服务类50万元，工程类60万元）及以上的项目，同样应当编</w:t>
      </w:r>
      <w:r>
        <w:rPr>
          <w:rFonts w:ascii="仿宋_GB2312" w:eastAsia="仿宋_GB2312" w:hAnsi="仿宋_GB2312" w:cs="仿宋_GB2312" w:hint="eastAsia"/>
          <w:kern w:val="0"/>
          <w:sz w:val="32"/>
          <w:szCs w:val="32"/>
          <w:lang w:bidi="ar"/>
        </w:rPr>
        <w:lastRenderedPageBreak/>
        <w:t>报政府采购预算。</w:t>
      </w:r>
    </w:p>
    <w:p w14:paraId="50F651C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基本预算（自筹经费除外）主要用于保障单位日常运转，原则上不安排硬件建设，因此采购预算表不得填报政府采购品目目录中设备、家具类等新增资产采购事项；涉及非资产类其他品目，应做到应编尽编、细化填报。</w:t>
      </w:r>
    </w:p>
    <w:p w14:paraId="14AC248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按规定通过贵州省药品和医用耗材招采管理子系统实施采购的项目，无需编报政府采购预算。</w:t>
      </w:r>
    </w:p>
    <w:p w14:paraId="2B01EB5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政府采购填报严禁使用“办公设备一批”“运维服务若干”等模糊表述，须明确品名、数量、规格、预估金额、实施时段；严禁人为拆分大额采购项目规避政府采购程序。</w:t>
      </w:r>
    </w:p>
    <w:p w14:paraId="03AF41F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政府采购预算与部门预算做到同步编制、同步审核、同步批复。预算批复后须按规定公开采购意向，应当在预算正式下达60日内完成年度采购意向公开，公开内容须与预算填报的服务品目、金额、实施周期保持一致。</w:t>
      </w:r>
    </w:p>
    <w:p w14:paraId="7581E81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补充说明：资产配置表中新增资产，预算明细表中经济分类编码前三位为310的货物类采购，属于集中采购目录内的，无论金额大小均应编报政府采购预算；不在集中采购目录但达到限额标准及以上的，同样编报政府采购预算。</w:t>
      </w:r>
    </w:p>
    <w:p w14:paraId="13B1618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不属于资产配置表的非资产类货物、服务采购，预算明细表中经济分类编码前三位为302的采购事项，属于集中采购目录内的，无论金额大小均应编报政府采购预算；不在集中采购目录但达到限额标准及以上的，同样编报政府采购预算。</w:t>
      </w:r>
    </w:p>
    <w:p w14:paraId="16F7EB57" w14:textId="77777777" w:rsidR="001E2803" w:rsidRDefault="001E2803">
      <w:pPr>
        <w:ind w:firstLine="640"/>
        <w:rPr>
          <w:rFonts w:ascii="仿宋_GB2312" w:eastAsia="仿宋_GB2312" w:hAnsi="仿宋_GB2312" w:cs="仿宋_GB2312" w:hint="eastAsia"/>
          <w:kern w:val="0"/>
          <w:sz w:val="32"/>
          <w:szCs w:val="32"/>
          <w:lang w:bidi="ar"/>
        </w:rPr>
      </w:pPr>
    </w:p>
    <w:p w14:paraId="400C13EA" w14:textId="77777777" w:rsidR="001E2803" w:rsidRDefault="00000000">
      <w:pPr>
        <w:pStyle w:val="1"/>
        <w:ind w:firstLine="643"/>
      </w:pPr>
      <w:bookmarkStart w:id="31" w:name="_Toc29961"/>
      <w:r>
        <w:rPr>
          <w:rFonts w:hint="eastAsia"/>
        </w:rPr>
        <w:lastRenderedPageBreak/>
        <w:t>第十章</w:t>
      </w:r>
      <w:r>
        <w:rPr>
          <w:rFonts w:hint="eastAsia"/>
        </w:rPr>
        <w:t xml:space="preserve"> </w:t>
      </w:r>
      <w:r>
        <w:rPr>
          <w:rFonts w:hint="eastAsia"/>
        </w:rPr>
        <w:t>预算明细主要经济分类科目使用说明</w:t>
      </w:r>
      <w:bookmarkEnd w:id="31"/>
    </w:p>
    <w:p w14:paraId="2A64D166" w14:textId="77777777" w:rsidR="001E2803" w:rsidRDefault="001E2803">
      <w:pPr>
        <w:ind w:firstLine="420"/>
      </w:pPr>
    </w:p>
    <w:p w14:paraId="78C2044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10.1（30101）基本工资</w:t>
      </w:r>
    </w:p>
    <w:p w14:paraId="462B09E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反映按规定核发的基本工资，包含岗位工资、薪级工资；各类学校毕业生试用期（见习期）工资、新参加工作工人学徒期、熟练期工资。</w:t>
      </w:r>
    </w:p>
    <w:p w14:paraId="7C27FBB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10.2（30102）津贴补贴</w:t>
      </w:r>
    </w:p>
    <w:p w14:paraId="24EFC38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反映按规定发放的各类津贴补贴，包含事业单位岗位津贴补贴，机关事业单位提租补贴、购房补贴、采暖补贴、物业服务补贴等。</w:t>
      </w:r>
    </w:p>
    <w:p w14:paraId="1D2C6F8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10.3（30106）伙食补助费</w:t>
      </w:r>
    </w:p>
    <w:p w14:paraId="4CBE657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反映单位向职工发放的伙食补助。包含符合《贵州大学加班误餐补助开支管理办法》（试行）（贵大发〔2019〕185 号）规定发放的加班误餐补助；各部门寒暑假集中加班，统一支付学校食堂的就餐费用。</w:t>
      </w:r>
    </w:p>
    <w:p w14:paraId="3F46F8D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10.4（30107）绩效工资</w:t>
      </w:r>
    </w:p>
    <w:p w14:paraId="20C4566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反映事业单位工作人员绩效工资，含基础性绩效工资、附加基础性绩效工资、奖励性绩效工资。按照《贵州大学绩效工资实施办法（2023年修订版）》（贵大发〔2023〕74 号），奖励性绩效工资涵盖常规绩效、业绩绩效、专项及年度贡献绩效；科研项目发放给项目组成员的科研绩效，纳入本科目核算。</w:t>
      </w:r>
    </w:p>
    <w:p w14:paraId="273447A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各二级单位编制绩效工资预算，须结合在职职工人数、</w:t>
      </w:r>
      <w:r>
        <w:rPr>
          <w:rFonts w:ascii="仿宋_GB2312" w:eastAsia="仿宋_GB2312" w:hAnsi="仿宋_GB2312" w:cs="仿宋_GB2312" w:hint="eastAsia"/>
          <w:kern w:val="0"/>
          <w:sz w:val="32"/>
          <w:szCs w:val="32"/>
          <w:lang w:bidi="ar"/>
        </w:rPr>
        <w:lastRenderedPageBreak/>
        <w:t>学校核定绩效工资总量指标测算；非在职人员劳务报酬不占用绩效工资指标，应当列支“30226 劳务费”。</w:t>
      </w:r>
    </w:p>
    <w:p w14:paraId="1BAE748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10.5（30108）机关事业单位基本养老保险缴费</w:t>
      </w:r>
    </w:p>
    <w:p w14:paraId="0EB9B0E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反映单位为职工缴纳的基本养老保险费。职工个人代扣缴纳部分，不在本科目核算。</w:t>
      </w:r>
    </w:p>
    <w:p w14:paraId="04C4F89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10.6（30109）职业年金缴费</w:t>
      </w:r>
    </w:p>
    <w:p w14:paraId="1381B52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反映单位实际为职工缴纳的职业年金（含退休人员职业年金记实支出）。职工个人代扣缴纳部分，不在本科目核算。</w:t>
      </w:r>
    </w:p>
    <w:p w14:paraId="720FCCD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10.7（30110）职工基本医疗保险缴费</w:t>
      </w:r>
    </w:p>
    <w:p w14:paraId="63326A5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反映单位为职工缴纳的基本医疗保险费。职工个人代扣的基本医疗、大额医疗保险部分，不在本科目核算。</w:t>
      </w:r>
    </w:p>
    <w:p w14:paraId="2026466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10.8（30111）公务员医疗补助缴费</w:t>
      </w:r>
    </w:p>
    <w:p w14:paraId="77688DA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反映可享受公务员医疗补助待遇单位，为职工缴纳的公务员医疗补助经费。</w:t>
      </w:r>
    </w:p>
    <w:p w14:paraId="010E1EA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10.9（30112）其他社会保障缴费</w:t>
      </w:r>
    </w:p>
    <w:p w14:paraId="15BA92F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反映单位缴纳的失业、工伤、生育、大病统筹等社会保险费，以及残疾人就业保障金。</w:t>
      </w:r>
    </w:p>
    <w:p w14:paraId="31A493E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10.10（30113）住房公积金</w:t>
      </w:r>
    </w:p>
    <w:p w14:paraId="11C9D9A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反映单位按规定为职工缴纳的住房公积金。职工个人代扣部分，不在本科目核算。</w:t>
      </w:r>
    </w:p>
    <w:p w14:paraId="07B05CC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10.11（30199）其他工资福利支出</w:t>
      </w:r>
    </w:p>
    <w:p w14:paraId="13E45D2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反映上述科目未涵盖的工资福利类支出。主要包括编制外长期聘用人员（不含劳务派遣人员；劳务派遣人员费用另计）劳务报酬及社保缴费、职工探亲费、困难职工生活补助、</w:t>
      </w:r>
      <w:r>
        <w:rPr>
          <w:rFonts w:ascii="仿宋_GB2312" w:eastAsia="仿宋_GB2312" w:hAnsi="仿宋_GB2312" w:cs="仿宋_GB2312" w:hint="eastAsia"/>
          <w:kern w:val="0"/>
          <w:sz w:val="32"/>
          <w:szCs w:val="32"/>
          <w:lang w:bidi="ar"/>
        </w:rPr>
        <w:lastRenderedPageBreak/>
        <w:t>驻村干部生活补助等。</w:t>
      </w:r>
    </w:p>
    <w:p w14:paraId="3AD77AD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10.12（30201）办公费</w:t>
      </w:r>
    </w:p>
    <w:p w14:paraId="7790C3D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反映购置达不到固定资产确认标准的日常办公用品、书报杂志及其他办公类支出。涉及政府采购品目目录范围内货物的，同步编报政府采购预算。</w:t>
      </w:r>
    </w:p>
    <w:p w14:paraId="07B4F72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10.13（30202）印刷费</w:t>
      </w:r>
    </w:p>
    <w:p w14:paraId="447A5EE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反映各类打印、复印、装订、印刷等支出。印刷服务属于政府采购品目目录范围，须同步编报政府采购预算。</w:t>
      </w:r>
    </w:p>
    <w:p w14:paraId="25984FB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10.14（30204）手续费</w:t>
      </w:r>
    </w:p>
    <w:p w14:paraId="5F36D9F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反映单位支付的换汇手续费、保函费、资信证明费等各类手续费支出。</w:t>
      </w:r>
    </w:p>
    <w:p w14:paraId="5656068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10.15（30205）水费</w:t>
      </w:r>
    </w:p>
    <w:p w14:paraId="3D44F1F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反映单位水费、污水处理费支出。水费原则上由学校职能部门统筹统一支付；饮用水、矿泉水支出不在本科目核算。</w:t>
      </w:r>
    </w:p>
    <w:p w14:paraId="1903357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10.16（30206）电费</w:t>
      </w:r>
    </w:p>
    <w:p w14:paraId="2B26306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反映单位电费支出。电费原则上由学校职能部门统筹统一支付。</w:t>
      </w:r>
    </w:p>
    <w:p w14:paraId="731BBF0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10.17（30207）邮电费</w:t>
      </w:r>
    </w:p>
    <w:p w14:paraId="0A7C40B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信函、包裹、货物邮寄费，电话费、电报费、传真费、网络通讯费等。包括办公电话、通信服务费、邮寄快递费、邮票、机要邮资、信箱使用费、网络通讯费等。属于政府采购品目目录服务类的，同步编报政府采购预算。</w:t>
      </w:r>
    </w:p>
    <w:p w14:paraId="5BCA955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10.18（30208）取暖费</w:t>
      </w:r>
    </w:p>
    <w:p w14:paraId="05D0696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反映单位取暖燃料费、热力费、炉具购置费，以及离退</w:t>
      </w:r>
      <w:r>
        <w:rPr>
          <w:rFonts w:ascii="仿宋_GB2312" w:eastAsia="仿宋_GB2312" w:hAnsi="仿宋_GB2312" w:cs="仿宋_GB2312" w:hint="eastAsia"/>
          <w:kern w:val="0"/>
          <w:sz w:val="32"/>
          <w:szCs w:val="32"/>
          <w:lang w:bidi="ar"/>
        </w:rPr>
        <w:lastRenderedPageBreak/>
        <w:t>休人员取暖补助。</w:t>
      </w:r>
    </w:p>
    <w:p w14:paraId="27674CE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10.19（30209）物业管理费</w:t>
      </w:r>
    </w:p>
    <w:p w14:paraId="40FD5F1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反映办公用房、职工宿舍、公租房物业管理支出，含综合治理、绿化、卫生保洁以及购买社会化物业服务相关支出。属于政府采购品目目录服务类的，同步编报政府采购预算。</w:t>
      </w:r>
    </w:p>
    <w:p w14:paraId="533662F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10.20（30211）差旅费</w:t>
      </w:r>
    </w:p>
    <w:p w14:paraId="687F03C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反映本单位工作人员国内出差发生的城市间交通费、住宿费、伙食补助费、市内交通费。执行文件：《中央和国家机关差旅费管理办法》（财行〔2013〕531 号）、《贵州省省级党政机关差旅费管理办法》（黔财行〔2014〕19 号）、《中央和国家机关差旅费管理办法有关问题的解答》（财办行〔2014〕90 号）、《省财政厅关于调整贵州省省级党政机关差旅住宿费标准的通知》（黔财行〔2015〕145 号）、《贵州大学差旅费管理办法（2026 年修订）》（贵大发〔2026〕5 号）。</w:t>
      </w:r>
    </w:p>
    <w:p w14:paraId="6BC1D58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10.21（30212）因公出国（境）费用</w:t>
      </w:r>
    </w:p>
    <w:p w14:paraId="0629277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反映单位工作人员公务出国（境）发生国际旅费、国外城市间交通费、住宿费、伙食费、培训费、公杂费等支出。</w:t>
      </w:r>
    </w:p>
    <w:p w14:paraId="73DA982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10.22（30213）维修（护）费</w:t>
      </w:r>
    </w:p>
    <w:p w14:paraId="240CE1C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反映固定资产（不含车船交通工具）日常修理维护、网络信息系统运维支出，含房屋维修、设备维修、信息系统运维及其他维修。属于政府采购品目目录工程、服务类的，同步编报政府采购预算。</w:t>
      </w:r>
    </w:p>
    <w:p w14:paraId="1D3F14D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10.23（30214）租赁费</w:t>
      </w:r>
    </w:p>
    <w:p w14:paraId="1810669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反映办公用房、宿舍、专用通信网络、各类设备租赁费用；含教学科研场地、服装等租赁支出；租车费不纳入本科目。属于政府采购品目目录服务类的，同步编报政府采购预算。</w:t>
      </w:r>
    </w:p>
    <w:p w14:paraId="483D3FF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10.24（30215）会议费</w:t>
      </w:r>
    </w:p>
    <w:p w14:paraId="70CBEA0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会议期间住宿费、伙食费、场地租金、交通费、文件印刷费、医药费、设备租赁、线路使用费、电视电话会议通话费、技术服务费、软件使用费、音视频制作费等。属于政府采购品目目录服务类的，同步编报政府采购预算。</w:t>
      </w:r>
    </w:p>
    <w:p w14:paraId="59DD0B3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10.25（30216）培训费</w:t>
      </w:r>
    </w:p>
    <w:p w14:paraId="1003471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除因公出国（境）培训以外，培训发生的师资费、住宿费、伙食费、场地费、资料费、交通费等培训相关支出。属于政府采购品目目录服务类的，同步编报政府采购预算。</w:t>
      </w:r>
    </w:p>
    <w:p w14:paraId="68CC2E7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10.26（30217）公务接待费</w:t>
      </w:r>
    </w:p>
    <w:p w14:paraId="7C1EE8D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各类公务接待（含外宾接待）发生住宿费、伙食费、宴请费、交通费等支出。执行中央八项规定、省委十项规定，遵照《党政机关厉行节约反对浪费条例》《党政机关国内公务接待管理规定》《贵州省党政机关国内公务接待管理实施办法》《贵州大学公务接待管理实施办法（修订）》执行。</w:t>
      </w:r>
    </w:p>
    <w:p w14:paraId="48D74BA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10.27（30218）专用材料费</w:t>
      </w:r>
    </w:p>
    <w:p w14:paraId="067D634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反映购置科研教学消耗性材料、工具、体育器材等专用材料支出。属于政府采购品目目录货物类的，同步编报政府采购预算。</w:t>
      </w:r>
    </w:p>
    <w:p w14:paraId="1356D4C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10.28（30226）劳务费</w:t>
      </w:r>
    </w:p>
    <w:p w14:paraId="052D369A"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反映支付给校外人员劳务报酬，包括劳务派遣服务费、无工资收入学生劳务、监考费（含在职人员监考）、临时聘用校外人员劳务报酬（钟点工、外聘专家讲座、答辩、审稿、外聘教师课酬、翻译、评审等）。</w:t>
      </w:r>
    </w:p>
    <w:p w14:paraId="32946BC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10.29（30227）委托业务费</w:t>
      </w:r>
    </w:p>
    <w:p w14:paraId="02F806E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反映委托外单位办理业务支付的费用，含测试加工、合作办学、科研协作、图书出版、论文版面、专利代理、业务外包、维保服务等。属于政府采购品目目录服务类的，同步编报政府采购预算。</w:t>
      </w:r>
    </w:p>
    <w:p w14:paraId="002E136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10.30（30228）工会经费</w:t>
      </w:r>
    </w:p>
    <w:p w14:paraId="02AA37F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反映单位按规定计提并上缴的工会经费。</w:t>
      </w:r>
    </w:p>
    <w:p w14:paraId="5731293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10.31（30231）公务用车运行维护费</w:t>
      </w:r>
    </w:p>
    <w:p w14:paraId="1407A2B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反映公务用车燃油、维修、保险、过路过桥、停车等运行保障支出。车辆维保、加油、机动车保险属于政府采购品目目录，须同步编报政府采购预算。</w:t>
      </w:r>
    </w:p>
    <w:p w14:paraId="03FA53A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10.32（30239）其他交通费用</w:t>
      </w:r>
    </w:p>
    <w:p w14:paraId="3567C2E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公务用车运行维护费之外的交通相关支出，包含租车费、公务交通补贴。属于政府采购品目目录服务类的，同步编报政府采购预算。</w:t>
      </w:r>
    </w:p>
    <w:p w14:paraId="68ABCE5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10.33（30240）税金及附加费用</w:t>
      </w:r>
    </w:p>
    <w:p w14:paraId="2218881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反映单位对外提供劳务、销售产品应承担的消费税、城市维护建设税、资源税、教育费附加等税金附加。</w:t>
      </w:r>
    </w:p>
    <w:p w14:paraId="2229F76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10.34（30299）其他商品和服务支出</w:t>
      </w:r>
    </w:p>
    <w:p w14:paraId="3F051FD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上述科目未涵盖的日常公用支出，如诉讼费、学术团体</w:t>
      </w:r>
      <w:r>
        <w:rPr>
          <w:rFonts w:ascii="仿宋_GB2312" w:eastAsia="仿宋_GB2312" w:hAnsi="仿宋_GB2312" w:cs="仿宋_GB2312" w:hint="eastAsia"/>
          <w:kern w:val="0"/>
          <w:sz w:val="32"/>
          <w:szCs w:val="32"/>
          <w:lang w:bidi="ar"/>
        </w:rPr>
        <w:lastRenderedPageBreak/>
        <w:t>会员费、广告宣传费、离退休人员特需费、离退休公用经费等。属于政府采购品目目录货物、服务类的，同步编报政府采购预算。</w:t>
      </w:r>
    </w:p>
    <w:p w14:paraId="42A2FA0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10.35（30301）离休费</w:t>
      </w:r>
    </w:p>
    <w:p w14:paraId="015FD67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反映离休人员基本离休费、护理费、高龄补贴、生活及附加补贴、其他补助。</w:t>
      </w:r>
    </w:p>
    <w:p w14:paraId="54B32B8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10.36（30302）退休费</w:t>
      </w:r>
    </w:p>
    <w:p w14:paraId="7898EE5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反映退休人员生活补贴、附加补贴、护理费、高龄补贴、其他补助、一次性退休补贴。</w:t>
      </w:r>
    </w:p>
    <w:p w14:paraId="1DFD9725"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10.37（30304）抚恤金</w:t>
      </w:r>
    </w:p>
    <w:p w14:paraId="249C17D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反映烈士遗属、牺牲病故人员遗属一次性及定期抚恤金，伤残人员抚恤金，职工、离退休人员丧葬费。</w:t>
      </w:r>
    </w:p>
    <w:p w14:paraId="134AA1AB"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10.38（30305）生活补助</w:t>
      </w:r>
    </w:p>
    <w:p w14:paraId="3128D07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反映优抚对象定期定量补助、行政事业单位职工遗属生活补助。</w:t>
      </w:r>
    </w:p>
    <w:p w14:paraId="05D18F8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10.39（30308）助学金</w:t>
      </w:r>
    </w:p>
    <w:p w14:paraId="537B763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反映学校学生助学金、奖学金、公派出国（实习）人员生活费、来华留学生及进修生生活费。培养单位资助学生出国（境）交流学习采取包干制的，列支本科目，并在项目基础信息附测算说明。</w:t>
      </w:r>
    </w:p>
    <w:p w14:paraId="4273362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10.40（30309）奖励金</w:t>
      </w:r>
    </w:p>
    <w:p w14:paraId="58F27BD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反映个体私营经济奖励、计划生育目标奖励、独生子女父母奖励等。</w:t>
      </w:r>
    </w:p>
    <w:p w14:paraId="6986E8D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10.41（30399）其他对个人和家庭的补助支出</w:t>
      </w:r>
    </w:p>
    <w:p w14:paraId="779F36E0"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lastRenderedPageBreak/>
        <w:t>上述科目未涵盖的补助支出，如婴幼儿补贴、退职人员及随行家属路费、退役士兵建房补助、城镇退役士兵自谋职业一次性补助、保障性住房租金补贴等。</w:t>
      </w:r>
    </w:p>
    <w:p w14:paraId="3209271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10.42（31002）办公设备购置</w:t>
      </w:r>
    </w:p>
    <w:p w14:paraId="242E413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购置达到固定资产确认标准的办公家具、办公设备支出。</w:t>
      </w:r>
    </w:p>
    <w:p w14:paraId="1D882E2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10.43（31003）专用设备购置</w:t>
      </w:r>
    </w:p>
    <w:p w14:paraId="0C60365D"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购置具备专门用途、纳入固定资产核算的各类专用设备，含教学科研计算机、服务器、体育器械等。</w:t>
      </w:r>
    </w:p>
    <w:p w14:paraId="6212423C"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10.44（31007）信息网络及软件购置更新</w:t>
      </w:r>
    </w:p>
    <w:p w14:paraId="7183D754"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服务器、软件购置、开发升级等信息网络软硬件支出；达不到固定资产确认标准软硬件，不在本科目核算。</w:t>
      </w:r>
    </w:p>
    <w:p w14:paraId="69E8A20E"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10.45（31013）公务用车购置 *</w:t>
      </w:r>
    </w:p>
    <w:p w14:paraId="1C9DECB2"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公务用车购置支出（含车辆购置税）。</w:t>
      </w:r>
    </w:p>
    <w:p w14:paraId="718E3AEF"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10.46（31019）其他交通工具购置 *</w:t>
      </w:r>
    </w:p>
    <w:p w14:paraId="7877CD9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公务用车以外其他交通工具购置支出。</w:t>
      </w:r>
    </w:p>
    <w:p w14:paraId="27173A47"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10.47（31021）文物和陈列品购置</w:t>
      </w:r>
    </w:p>
    <w:p w14:paraId="41238B96"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文物、陈列品采购购置支出。</w:t>
      </w:r>
    </w:p>
    <w:p w14:paraId="0BAED283"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10.48（31022）无形资产购置</w:t>
      </w:r>
    </w:p>
    <w:p w14:paraId="4CCE96F9"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著作权、商标权、专利权、土地使用权等无形资产购置；软件购置开发不在本科目核算。</w:t>
      </w:r>
    </w:p>
    <w:p w14:paraId="2C82AED1"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10.49（31099）其他资本性支出</w:t>
      </w:r>
    </w:p>
    <w:p w14:paraId="2C795208" w14:textId="77777777" w:rsidR="001E2803" w:rsidRDefault="00000000">
      <w:pPr>
        <w:ind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上述科目未列明的资本性支出，包含非办公类家具用具、图书档案购置等。</w:t>
      </w:r>
    </w:p>
    <w:p w14:paraId="454CC909" w14:textId="77777777" w:rsidR="001E2803" w:rsidRDefault="001E2803">
      <w:pPr>
        <w:ind w:firstLine="640"/>
        <w:rPr>
          <w:rFonts w:ascii="仿宋_GB2312" w:eastAsia="仿宋_GB2312" w:hAnsi="仿宋_GB2312" w:cs="仿宋_GB2312" w:hint="eastAsia"/>
          <w:kern w:val="0"/>
          <w:sz w:val="32"/>
          <w:szCs w:val="32"/>
          <w:lang w:bidi="ar"/>
        </w:rPr>
      </w:pPr>
    </w:p>
    <w:sectPr w:rsidR="001E280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4D77C" w14:textId="77777777" w:rsidR="00F438BF" w:rsidRDefault="00F438BF">
      <w:pPr>
        <w:spacing w:line="240" w:lineRule="auto"/>
        <w:ind w:firstLine="420"/>
      </w:pPr>
      <w:r>
        <w:separator/>
      </w:r>
    </w:p>
  </w:endnote>
  <w:endnote w:type="continuationSeparator" w:id="0">
    <w:p w14:paraId="11F1509C" w14:textId="77777777" w:rsidR="00F438BF" w:rsidRDefault="00F438BF">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171A" w14:textId="77777777" w:rsidR="00046E6A" w:rsidRDefault="00046E6A">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C367" w14:textId="77777777" w:rsidR="001E2803" w:rsidRDefault="00000000">
    <w:pPr>
      <w:pStyle w:val="a3"/>
      <w:ind w:firstLine="360"/>
    </w:pPr>
    <w:r>
      <w:rPr>
        <w:noProof/>
      </w:rPr>
      <mc:AlternateContent>
        <mc:Choice Requires="wps">
          <w:drawing>
            <wp:anchor distT="0" distB="0" distL="114300" distR="114300" simplePos="0" relativeHeight="251659264" behindDoc="0" locked="0" layoutInCell="1" allowOverlap="1" wp14:anchorId="291AA980" wp14:editId="7EE5615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D488F8" w14:textId="77777777" w:rsidR="001E2803" w:rsidRDefault="00000000">
                          <w:pPr>
                            <w:pStyle w:val="a3"/>
                            <w:ind w:firstLine="560"/>
                          </w:pPr>
                          <w:r>
                            <w:rPr>
                              <w:rFonts w:ascii="宋体" w:eastAsia="宋体" w:hAnsi="宋体" w:cs="宋体" w:hint="eastAsia"/>
                              <w:sz w:val="28"/>
                              <w:szCs w:val="44"/>
                            </w:rPr>
                            <w:t xml:space="preserve">— </w:t>
                          </w: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Pr>
                              <w:rFonts w:ascii="宋体" w:eastAsia="宋体" w:hAnsi="宋体" w:cs="宋体" w:hint="eastAsia"/>
                              <w:sz w:val="28"/>
                              <w:szCs w:val="44"/>
                            </w:rPr>
                            <w:t>1</w:t>
                          </w:r>
                          <w:r>
                            <w:rPr>
                              <w:rFonts w:ascii="宋体" w:eastAsia="宋体" w:hAnsi="宋体" w:cs="宋体" w:hint="eastAsia"/>
                              <w:sz w:val="28"/>
                              <w:szCs w:val="44"/>
                            </w:rPr>
                            <w:fldChar w:fldCharType="end"/>
                          </w:r>
                          <w:r>
                            <w:rPr>
                              <w:rFonts w:ascii="宋体" w:eastAsia="宋体" w:hAnsi="宋体" w:cs="宋体" w:hint="eastAsia"/>
                              <w:sz w:val="28"/>
                              <w:szCs w:val="4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1AA980"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0D488F8" w14:textId="77777777" w:rsidR="001E2803" w:rsidRDefault="00000000">
                    <w:pPr>
                      <w:pStyle w:val="a3"/>
                      <w:ind w:firstLine="560"/>
                    </w:pPr>
                    <w:r>
                      <w:rPr>
                        <w:rFonts w:ascii="宋体" w:eastAsia="宋体" w:hAnsi="宋体" w:cs="宋体" w:hint="eastAsia"/>
                        <w:sz w:val="28"/>
                        <w:szCs w:val="44"/>
                      </w:rPr>
                      <w:t xml:space="preserve">— </w:t>
                    </w: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Pr>
                        <w:rFonts w:ascii="宋体" w:eastAsia="宋体" w:hAnsi="宋体" w:cs="宋体" w:hint="eastAsia"/>
                        <w:sz w:val="28"/>
                        <w:szCs w:val="44"/>
                      </w:rPr>
                      <w:t>1</w:t>
                    </w:r>
                    <w:r>
                      <w:rPr>
                        <w:rFonts w:ascii="宋体" w:eastAsia="宋体" w:hAnsi="宋体" w:cs="宋体" w:hint="eastAsia"/>
                        <w:sz w:val="28"/>
                        <w:szCs w:val="44"/>
                      </w:rPr>
                      <w:fldChar w:fldCharType="end"/>
                    </w:r>
                    <w:r>
                      <w:rPr>
                        <w:rFonts w:ascii="宋体" w:eastAsia="宋体" w:hAnsi="宋体" w:cs="宋体" w:hint="eastAsia"/>
                        <w:sz w:val="28"/>
                        <w:szCs w:val="44"/>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B1F2" w14:textId="77777777" w:rsidR="00046E6A" w:rsidRDefault="00046E6A">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0250" w14:textId="77777777" w:rsidR="00F438BF" w:rsidRDefault="00F438BF">
      <w:pPr>
        <w:spacing w:line="240" w:lineRule="auto"/>
        <w:ind w:firstLine="420"/>
      </w:pPr>
      <w:r>
        <w:separator/>
      </w:r>
    </w:p>
  </w:footnote>
  <w:footnote w:type="continuationSeparator" w:id="0">
    <w:p w14:paraId="2E2D0A32" w14:textId="77777777" w:rsidR="00F438BF" w:rsidRDefault="00F438BF">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CC1F" w14:textId="77777777" w:rsidR="00046E6A" w:rsidRDefault="00046E6A">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F5A3" w14:textId="77777777" w:rsidR="00046E6A" w:rsidRDefault="00046E6A">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9A560" w14:textId="77777777" w:rsidR="00046E6A" w:rsidRDefault="00046E6A">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YxZWQ3Y2QyMWIzMWQyYWQ0MjE5MTQ2OGU2OTgzZTgifQ=="/>
  </w:docVars>
  <w:rsids>
    <w:rsidRoot w:val="49D6507C"/>
    <w:rsid w:val="00046E6A"/>
    <w:rsid w:val="000825F2"/>
    <w:rsid w:val="001E2803"/>
    <w:rsid w:val="00B40FF6"/>
    <w:rsid w:val="00DE457F"/>
    <w:rsid w:val="00E47D1A"/>
    <w:rsid w:val="00F438BF"/>
    <w:rsid w:val="03281E5C"/>
    <w:rsid w:val="039B5CA5"/>
    <w:rsid w:val="04C146F5"/>
    <w:rsid w:val="051F591E"/>
    <w:rsid w:val="05500BDA"/>
    <w:rsid w:val="06C44D51"/>
    <w:rsid w:val="073827E8"/>
    <w:rsid w:val="07F874F1"/>
    <w:rsid w:val="08114650"/>
    <w:rsid w:val="08763D96"/>
    <w:rsid w:val="09486F12"/>
    <w:rsid w:val="0986508A"/>
    <w:rsid w:val="0B406C57"/>
    <w:rsid w:val="0CB570A0"/>
    <w:rsid w:val="0CD57635"/>
    <w:rsid w:val="0F1B784D"/>
    <w:rsid w:val="0F540E2D"/>
    <w:rsid w:val="100566C9"/>
    <w:rsid w:val="1170276F"/>
    <w:rsid w:val="12720A0F"/>
    <w:rsid w:val="13A91707"/>
    <w:rsid w:val="14676053"/>
    <w:rsid w:val="148A67C4"/>
    <w:rsid w:val="149B6F34"/>
    <w:rsid w:val="152C7897"/>
    <w:rsid w:val="16956832"/>
    <w:rsid w:val="16D72AD9"/>
    <w:rsid w:val="1883730D"/>
    <w:rsid w:val="18DA1AF5"/>
    <w:rsid w:val="19184AF0"/>
    <w:rsid w:val="1ACD0B08"/>
    <w:rsid w:val="1C1B435C"/>
    <w:rsid w:val="1C1E45C2"/>
    <w:rsid w:val="1E112A56"/>
    <w:rsid w:val="1E903DFD"/>
    <w:rsid w:val="20222B64"/>
    <w:rsid w:val="213C0988"/>
    <w:rsid w:val="217B27C0"/>
    <w:rsid w:val="21FD16D9"/>
    <w:rsid w:val="25325D26"/>
    <w:rsid w:val="26F3146A"/>
    <w:rsid w:val="281E3DB8"/>
    <w:rsid w:val="2A234B17"/>
    <w:rsid w:val="2AED4C34"/>
    <w:rsid w:val="2D5D59A4"/>
    <w:rsid w:val="2D765371"/>
    <w:rsid w:val="2D917516"/>
    <w:rsid w:val="2DAE231D"/>
    <w:rsid w:val="2F2A5570"/>
    <w:rsid w:val="321A4826"/>
    <w:rsid w:val="332E0AD7"/>
    <w:rsid w:val="35A33A35"/>
    <w:rsid w:val="371D783B"/>
    <w:rsid w:val="3887093A"/>
    <w:rsid w:val="391F5882"/>
    <w:rsid w:val="392C6831"/>
    <w:rsid w:val="3A967824"/>
    <w:rsid w:val="3B6349B2"/>
    <w:rsid w:val="3C9802E9"/>
    <w:rsid w:val="3CD0758C"/>
    <w:rsid w:val="3CE9367A"/>
    <w:rsid w:val="3DD9130F"/>
    <w:rsid w:val="40B4457B"/>
    <w:rsid w:val="41AE3443"/>
    <w:rsid w:val="41BD7B2C"/>
    <w:rsid w:val="44472EDA"/>
    <w:rsid w:val="469626DA"/>
    <w:rsid w:val="47603645"/>
    <w:rsid w:val="48256D81"/>
    <w:rsid w:val="48E0182F"/>
    <w:rsid w:val="49D6507C"/>
    <w:rsid w:val="4A6727A9"/>
    <w:rsid w:val="4A7C753F"/>
    <w:rsid w:val="4BD121B3"/>
    <w:rsid w:val="4C2E7E18"/>
    <w:rsid w:val="4C560135"/>
    <w:rsid w:val="4E2E7594"/>
    <w:rsid w:val="4EB24393"/>
    <w:rsid w:val="505D3128"/>
    <w:rsid w:val="5234263B"/>
    <w:rsid w:val="52772B85"/>
    <w:rsid w:val="55E44036"/>
    <w:rsid w:val="56B35AD1"/>
    <w:rsid w:val="56C90938"/>
    <w:rsid w:val="57DC4792"/>
    <w:rsid w:val="5B3B17B4"/>
    <w:rsid w:val="5BB7450F"/>
    <w:rsid w:val="5D670D74"/>
    <w:rsid w:val="603D5025"/>
    <w:rsid w:val="614D2A98"/>
    <w:rsid w:val="653241BE"/>
    <w:rsid w:val="66895ED6"/>
    <w:rsid w:val="66DB7F98"/>
    <w:rsid w:val="6B397E4F"/>
    <w:rsid w:val="6E1B1CEF"/>
    <w:rsid w:val="6E4E4967"/>
    <w:rsid w:val="6F1223A2"/>
    <w:rsid w:val="7355466A"/>
    <w:rsid w:val="752330FE"/>
    <w:rsid w:val="75D07B0C"/>
    <w:rsid w:val="76ED5F2F"/>
    <w:rsid w:val="76F821FD"/>
    <w:rsid w:val="7731706A"/>
    <w:rsid w:val="7C9D132A"/>
    <w:rsid w:val="7CAB3145"/>
    <w:rsid w:val="7EDD5102"/>
    <w:rsid w:val="7FD44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0070A9"/>
  <w15:docId w15:val="{8E2C91E2-3496-43E2-BBC3-945CEC34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60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jc w:val="center"/>
      <w:outlineLvl w:val="0"/>
    </w:pPr>
    <w:rPr>
      <w:rFonts w:eastAsia="黑体"/>
      <w:b/>
      <w:kern w:val="44"/>
      <w:sz w:val="32"/>
    </w:rPr>
  </w:style>
  <w:style w:type="paragraph" w:styleId="2">
    <w:name w:val="heading 2"/>
    <w:basedOn w:val="a"/>
    <w:next w:val="a"/>
    <w:unhideWhenUsed/>
    <w:qFormat/>
    <w:pPr>
      <w:spacing w:beforeAutospacing="1" w:afterAutospacing="1"/>
      <w:jc w:val="left"/>
      <w:outlineLvl w:val="1"/>
    </w:pPr>
    <w:rPr>
      <w:rFonts w:ascii="宋体" w:eastAsia="仿宋_GB2312" w:hAnsi="宋体" w:cs="Times New Roman" w:hint="eastAsia"/>
      <w:b/>
      <w:bCs/>
      <w:kern w:val="0"/>
      <w:sz w:val="32"/>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TOC2">
    <w:name w:val="toc 2"/>
    <w:basedOn w:val="a"/>
    <w:next w:val="a"/>
    <w:qFormat/>
    <w:pPr>
      <w:ind w:leftChars="200" w:left="420"/>
    </w:pPr>
  </w:style>
  <w:style w:type="paragraph" w:styleId="a5">
    <w:name w:val="Normal (Web)"/>
    <w:basedOn w:val="a"/>
    <w:qFormat/>
    <w:pPr>
      <w:spacing w:beforeAutospacing="1" w:afterAutospacing="1"/>
      <w:jc w:val="left"/>
    </w:pPr>
    <w:rPr>
      <w:rFonts w:cs="Times New Roman"/>
      <w:kern w:val="0"/>
      <w:sz w:val="24"/>
    </w:rPr>
  </w:style>
  <w:style w:type="character" w:styleId="a6">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6629</Words>
  <Characters>7094</Characters>
  <Application>Microsoft Office Word</Application>
  <DocSecurity>0</DocSecurity>
  <Lines>373</Lines>
  <Paragraphs>334</Paragraphs>
  <ScaleCrop>false</ScaleCrop>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gwylilian</dc:creator>
  <cp:lastModifiedBy>黄有慧</cp:lastModifiedBy>
  <cp:revision>3</cp:revision>
  <dcterms:created xsi:type="dcterms:W3CDTF">2026-08-09T02:50:00Z</dcterms:created>
  <dcterms:modified xsi:type="dcterms:W3CDTF">2026-08-13T08:51:00Z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EA4B9AEC141E454FAEABD067C2B96C03_13</vt:lpwstr>
  </property>
  <property fmtid="{D5CDD505-2E9C-101B-9397-08002B2CF9AE}" pid="4" name="KSOTemplateDocerSaveRecord">
    <vt:lpwstr>eyJoZGlkIjoiYjljNjE4NzZmNGNiNmJmMjgyNGE4NzhjY2VmMGI1YjUiLCJ1c2VySWQiOiIzNDIyNDMzMTUifQ==</vt:lpwstr>
  </property>
</Properties>
</file>